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方正小标宋简体" w:hAnsi="黑体" w:eastAsia="方正小标宋简体" w:cs="黑体"/>
          <w:b/>
          <w:bCs/>
          <w:color w:val="000000"/>
          <w:sz w:val="44"/>
          <w:szCs w:val="44"/>
        </w:rPr>
      </w:pPr>
      <w:r>
        <w:rPr>
          <w:rFonts w:hint="default" w:ascii="方正小标宋简体" w:hAnsi="黑体" w:eastAsia="方正小标宋简体" w:cs="黑体"/>
          <w:b/>
          <w:bCs/>
          <w:color w:val="000000"/>
          <w:sz w:val="44"/>
          <w:szCs w:val="44"/>
          <w:lang w:eastAsia="zh-Hans"/>
        </w:rPr>
        <w:t>2022</w:t>
      </w:r>
      <w:r>
        <w:rPr>
          <w:rFonts w:hint="eastAsia" w:ascii="方正小标宋简体" w:hAnsi="黑体" w:eastAsia="方正小标宋简体" w:cs="黑体"/>
          <w:b/>
          <w:bCs/>
          <w:color w:val="000000"/>
          <w:sz w:val="44"/>
          <w:szCs w:val="44"/>
          <w:lang w:val="en-US" w:eastAsia="zh-Hans"/>
        </w:rPr>
        <w:t>年</w:t>
      </w:r>
      <w:r>
        <w:rPr>
          <w:rFonts w:hint="eastAsia" w:ascii="方正小标宋简体" w:hAnsi="黑体" w:eastAsia="方正小标宋简体" w:cs="黑体"/>
          <w:b/>
          <w:bCs/>
          <w:color w:val="000000"/>
          <w:sz w:val="44"/>
          <w:szCs w:val="44"/>
          <w:lang w:val="en-US" w:eastAsia="zh-CN"/>
        </w:rPr>
        <w:t>全</w:t>
      </w:r>
      <w:r>
        <w:rPr>
          <w:rFonts w:hint="eastAsia" w:ascii="方正小标宋简体" w:hAnsi="黑体" w:eastAsia="方正小标宋简体" w:cs="黑体"/>
          <w:b/>
          <w:bCs/>
          <w:color w:val="000000"/>
          <w:sz w:val="44"/>
          <w:szCs w:val="44"/>
        </w:rPr>
        <w:t>省职业院校技能大赛</w:t>
      </w:r>
    </w:p>
    <w:p>
      <w:pPr>
        <w:snapToGrid w:val="0"/>
        <w:jc w:val="center"/>
        <w:outlineLvl w:val="0"/>
        <w:rPr>
          <w:rFonts w:hint="eastAsia" w:ascii="方正小标宋简体" w:hAnsi="黑体" w:eastAsia="方正小标宋简体" w:cs="黑体"/>
          <w:b/>
          <w:bCs/>
          <w:color w:val="000000"/>
          <w:sz w:val="44"/>
          <w:szCs w:val="44"/>
          <w:lang w:eastAsia="zh-CN"/>
        </w:rPr>
      </w:pPr>
      <w:r>
        <w:rPr>
          <w:rFonts w:hint="eastAsia" w:ascii="方正小标宋简体" w:hAnsi="黑体" w:eastAsia="方正小标宋简体" w:cs="黑体"/>
          <w:b/>
          <w:bCs/>
          <w:color w:val="000000"/>
          <w:sz w:val="44"/>
          <w:szCs w:val="44"/>
          <w:lang w:val="en-US" w:eastAsia="zh-CN"/>
        </w:rPr>
        <w:t>高职教师组</w:t>
      </w:r>
      <w:r>
        <w:rPr>
          <w:rFonts w:hint="eastAsia" w:ascii="方正小标宋简体" w:hAnsi="黑体" w:eastAsia="方正小标宋简体" w:cs="黑体"/>
          <w:b/>
          <w:bCs/>
          <w:color w:val="000000"/>
          <w:sz w:val="44"/>
          <w:szCs w:val="44"/>
          <w:lang w:eastAsia="zh-CN"/>
        </w:rPr>
        <w:t>网络系统管理赛</w:t>
      </w:r>
      <w:r>
        <w:rPr>
          <w:rFonts w:hint="eastAsia" w:ascii="方正小标宋简体" w:hAnsi="黑体" w:eastAsia="方正小标宋简体" w:cs="黑体"/>
          <w:b/>
          <w:bCs/>
          <w:color w:val="000000"/>
          <w:sz w:val="44"/>
          <w:szCs w:val="44"/>
          <w:lang w:val="en-US" w:eastAsia="zh-CN"/>
        </w:rPr>
        <w:t>项竞赛</w:t>
      </w:r>
      <w:r>
        <w:rPr>
          <w:rFonts w:hint="eastAsia" w:ascii="方正小标宋简体" w:hAnsi="黑体" w:eastAsia="方正小标宋简体" w:cs="黑体"/>
          <w:b/>
          <w:bCs/>
          <w:color w:val="000000"/>
          <w:sz w:val="44"/>
          <w:szCs w:val="44"/>
          <w:lang w:eastAsia="zh-CN"/>
        </w:rPr>
        <w:t>规程</w:t>
      </w:r>
    </w:p>
    <w:p>
      <w:pPr>
        <w:adjustRightInd w:val="0"/>
        <w:snapToGrid w:val="0"/>
        <w:spacing w:before="240" w:line="360" w:lineRule="auto"/>
        <w:ind w:firstLine="562" w:firstLineChars="200"/>
        <w:rPr>
          <w:rFonts w:hint="eastAsia" w:ascii="仿宋" w:hAnsi="Calibri" w:eastAsia="仿宋" w:cs="Arial"/>
          <w:b/>
          <w:bCs/>
          <w:sz w:val="28"/>
        </w:rPr>
      </w:pPr>
      <w:r>
        <w:rPr>
          <w:rFonts w:hint="eastAsia" w:ascii="仿宋" w:hAnsi="Calibri" w:eastAsia="仿宋" w:cs="Arial"/>
          <w:b/>
          <w:bCs/>
          <w:sz w:val="28"/>
        </w:rPr>
        <w:t>一</w:t>
      </w:r>
      <w:r>
        <w:rPr>
          <w:rFonts w:hint="eastAsia" w:ascii="仿宋" w:hAnsi="Calibri" w:eastAsia="仿宋" w:cs="Arial"/>
          <w:b/>
          <w:bCs/>
          <w:sz w:val="28"/>
          <w:lang w:eastAsia="zh-CN"/>
        </w:rPr>
        <w:t>、</w:t>
      </w:r>
      <w:r>
        <w:rPr>
          <w:rFonts w:hint="eastAsia" w:ascii="仿宋" w:hAnsi="Calibri" w:eastAsia="仿宋" w:cs="Arial"/>
          <w:b/>
          <w:bCs/>
          <w:sz w:val="28"/>
        </w:rPr>
        <w:t>赛项名称</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赛项名称：网络系统管理</w:t>
      </w:r>
    </w:p>
    <w:p>
      <w:pPr>
        <w:adjustRightInd w:val="0"/>
        <w:snapToGrid w:val="0"/>
        <w:spacing w:line="360" w:lineRule="auto"/>
        <w:ind w:firstLine="560" w:firstLineChars="200"/>
        <w:rPr>
          <w:rFonts w:hint="eastAsia" w:ascii="仿宋" w:hAnsi="Calibri" w:eastAsia="仿宋" w:cs="Arial"/>
          <w:sz w:val="28"/>
          <w:lang w:val="en-US" w:eastAsia="zh-CN"/>
        </w:rPr>
      </w:pPr>
      <w:r>
        <w:rPr>
          <w:rFonts w:hint="eastAsia" w:ascii="仿宋" w:hAnsi="Calibri" w:eastAsia="仿宋" w:cs="Arial"/>
          <w:sz w:val="28"/>
        </w:rPr>
        <w:t>赛项组别：高职</w:t>
      </w:r>
      <w:r>
        <w:rPr>
          <w:rFonts w:hint="eastAsia" w:ascii="仿宋" w:hAnsi="Calibri" w:eastAsia="仿宋" w:cs="Arial"/>
          <w:sz w:val="28"/>
          <w:lang w:val="en-US" w:eastAsia="zh-CN"/>
        </w:rPr>
        <w:t>教师组</w:t>
      </w:r>
    </w:p>
    <w:p>
      <w:pPr>
        <w:adjustRightInd w:val="0"/>
        <w:snapToGrid w:val="0"/>
        <w:spacing w:line="360" w:lineRule="auto"/>
        <w:ind w:firstLine="560" w:firstLineChars="200"/>
        <w:rPr>
          <w:rFonts w:hint="default" w:ascii="仿宋" w:hAnsi="Calibri" w:eastAsia="仿宋" w:cs="Arial"/>
          <w:sz w:val="28"/>
          <w:lang w:val="en-US" w:eastAsia="zh-CN"/>
        </w:rPr>
      </w:pPr>
      <w:r>
        <w:rPr>
          <w:rFonts w:hint="eastAsia" w:ascii="仿宋" w:hAnsi="Calibri" w:eastAsia="仿宋" w:cs="Arial"/>
          <w:sz w:val="28"/>
        </w:rPr>
        <w:t>赛项归属：</w:t>
      </w:r>
      <w:r>
        <w:rPr>
          <w:rFonts w:hint="eastAsia" w:ascii="仿宋" w:hAnsi="Calibri" w:eastAsia="仿宋" w:cs="Arial"/>
          <w:sz w:val="28"/>
          <w:lang w:val="en-US" w:eastAsia="zh-CN"/>
        </w:rPr>
        <w:t>电子与信息</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二</w:t>
      </w:r>
      <w:r>
        <w:rPr>
          <w:rFonts w:hint="eastAsia" w:ascii="仿宋" w:hAnsi="Calibri" w:eastAsia="仿宋" w:cs="Arial"/>
          <w:b/>
          <w:bCs/>
          <w:sz w:val="28"/>
          <w:lang w:eastAsia="zh-CN"/>
        </w:rPr>
        <w:t>、</w:t>
      </w:r>
      <w:r>
        <w:rPr>
          <w:rFonts w:hint="eastAsia" w:ascii="仿宋" w:hAnsi="Calibri" w:eastAsia="仿宋" w:cs="Arial"/>
          <w:b/>
          <w:bCs/>
          <w:sz w:val="28"/>
        </w:rPr>
        <w:t>竞赛目的</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赛项旨在融合世界技能大赛的技术标准和规则要求，通过大赛让参赛选手经历一个基于完整工作过程的检测，使参赛选手熟悉并掌握世界技能大赛的技术规范和行业技术标准。通过竞赛来检测教学水平，引领和促进职业教育教学改革，促进与世界最新水平接轨，营造崇尚技能的社会氛围。</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网络系统管理岗位上的人员主要工作在商业和组织机构中，包括网络运营中心、互联网服务提供商、数据中心等工作场所；为用户提供日常 IT 业务运营，支持广泛的 IT 信息服务：用户业务支持、故</w:t>
      </w:r>
      <w:bookmarkStart w:id="0" w:name="page2"/>
      <w:bookmarkEnd w:id="0"/>
      <w:r>
        <w:rPr>
          <w:rFonts w:hint="eastAsia" w:ascii="仿宋" w:hAnsi="Calibri" w:eastAsia="仿宋" w:cs="Arial"/>
          <w:sz w:val="28"/>
        </w:rPr>
        <w:t>障排除、设计、安装与升级操作系统、规划网络应用、配置网络设备等。此外，网络系统管理人员有责任与用户进行专业的工作交互，以满足用户的信息化需求，确保 IT 系统和网络服务的连续性，并对 IT 系统的运营和网络服务的开发提供建议和指导，以提升 IT 网络信息系统的管理效能，推动组织向前发展。</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通过大赛培养参赛选手在企业真实项目环境下进行网络规划与实施、配置网络设备的基础信息、搭建网络与部署信息化系统的方案、搭建移动互联网与实现无线网络优化、实施出口安全防护与远程接入、搭建网络服务与配置企业应用、完成网络设计与规划等信息化全网融合领域的核心技能；同时培养选手的沟通力、抗压力、6S  规范等职业素质；展现职业院校计算机网络技术及其相关专业学生的技能与风采，激发学生求知欲和参赛热情，以达到“以赛促学、以赛促教、以赛促改”目的。</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通过大赛搭建校企合作平台，引导更多的行业、企业参与校企合作，深化产教融合，推进产教融合人才培养，使职业院校能更深入地了解产业的发展趋势以及产业对 IT 人才的需求标准，引领计算机网络技术及相关专业改革与发展，适应互联网+、移动互联、云计算、大数据、智慧城市等新一代网络技术发展的需求，推动专业的新模式、新业态、新应用的发展。</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通过大赛培养一批“实践能力强、教学水平高、敬业精神佳”的双师型“种子教师”师资队伍，建设一批高质量、立体化的专业课程资源包、项目教学资源等。</w:t>
      </w:r>
      <w:bookmarkStart w:id="1" w:name="page3"/>
      <w:bookmarkEnd w:id="1"/>
    </w:p>
    <w:p>
      <w:pPr>
        <w:numPr>
          <w:ilvl w:val="0"/>
          <w:numId w:val="1"/>
        </w:numPr>
        <w:adjustRightInd w:val="0"/>
        <w:snapToGrid w:val="0"/>
        <w:spacing w:before="240" w:line="360" w:lineRule="auto"/>
        <w:ind w:firstLine="562" w:firstLineChars="200"/>
        <w:rPr>
          <w:rFonts w:hint="eastAsia" w:ascii="仿宋" w:hAnsi="Calibri" w:eastAsia="仿宋" w:cs="Arial"/>
          <w:b/>
          <w:bCs/>
          <w:sz w:val="28"/>
          <w:lang w:val="en-US" w:eastAsia="zh-CN"/>
        </w:rPr>
      </w:pPr>
      <w:r>
        <w:rPr>
          <w:rFonts w:hint="eastAsia" w:ascii="仿宋" w:hAnsi="Calibri" w:eastAsia="仿宋" w:cs="Arial"/>
          <w:b/>
          <w:bCs/>
          <w:sz w:val="28"/>
        </w:rPr>
        <w:t>竞赛</w:t>
      </w:r>
      <w:r>
        <w:rPr>
          <w:rFonts w:hint="eastAsia" w:ascii="仿宋" w:hAnsi="Calibri" w:eastAsia="仿宋" w:cs="Arial"/>
          <w:b/>
          <w:bCs/>
          <w:sz w:val="28"/>
          <w:lang w:val="en-US" w:eastAsia="zh-CN"/>
        </w:rPr>
        <w:t>时间、地点</w:t>
      </w:r>
    </w:p>
    <w:p>
      <w:pPr>
        <w:adjustRightInd w:val="0"/>
        <w:spacing w:line="560" w:lineRule="exact"/>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1.竞赛时间</w:t>
      </w:r>
    </w:p>
    <w:p>
      <w:pPr>
        <w:adjustRightInd w:val="0"/>
        <w:spacing w:line="56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202</w:t>
      </w:r>
      <w:r>
        <w:rPr>
          <w:rFonts w:hint="eastAsia" w:ascii="仿宋_GB2312" w:hAnsi="仿宋" w:eastAsia="仿宋_GB2312"/>
          <w:sz w:val="28"/>
          <w:szCs w:val="28"/>
          <w:highlight w:val="none"/>
          <w:lang w:val="en-US" w:eastAsia="zh-CN"/>
        </w:rPr>
        <w:t>2</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29</w:t>
      </w:r>
      <w:r>
        <w:rPr>
          <w:rFonts w:hint="eastAsia" w:ascii="仿宋_GB2312" w:hAnsi="仿宋" w:eastAsia="仿宋_GB2312"/>
          <w:sz w:val="28"/>
          <w:szCs w:val="28"/>
          <w:highlight w:val="none"/>
        </w:rPr>
        <w:t>日14:30-15:30</w:t>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参赛队报到，领取资料</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3月30</w:t>
      </w:r>
      <w:r>
        <w:rPr>
          <w:rFonts w:hint="eastAsia" w:ascii="仿宋_GB2312" w:hAnsi="仿宋" w:eastAsia="仿宋_GB2312"/>
          <w:sz w:val="28"/>
          <w:szCs w:val="28"/>
          <w:highlight w:val="none"/>
        </w:rPr>
        <w:t>日正式竞赛。</w:t>
      </w:r>
    </w:p>
    <w:p>
      <w:pPr>
        <w:adjustRightInd w:val="0"/>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2.竞赛地点</w:t>
      </w:r>
    </w:p>
    <w:p>
      <w:pPr>
        <w:adjustRightInd w:val="0"/>
        <w:spacing w:line="560" w:lineRule="exact"/>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甘肃交通职业技术学院院综合楼（兰州市安宁区邱家湾128号）。</w:t>
      </w:r>
    </w:p>
    <w:p>
      <w:pPr>
        <w:adjustRightInd w:val="0"/>
        <w:snapToGrid w:val="0"/>
        <w:spacing w:before="240"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四</w:t>
      </w:r>
      <w:r>
        <w:rPr>
          <w:rFonts w:hint="eastAsia" w:ascii="仿宋" w:hAnsi="Calibri" w:eastAsia="仿宋" w:cs="Arial"/>
          <w:b/>
          <w:bCs/>
          <w:sz w:val="28"/>
          <w:lang w:eastAsia="zh-CN"/>
        </w:rPr>
        <w:t>、</w:t>
      </w:r>
      <w:r>
        <w:rPr>
          <w:rFonts w:hint="eastAsia" w:ascii="仿宋" w:hAnsi="Calibri" w:eastAsia="仿宋" w:cs="Arial"/>
          <w:b/>
          <w:bCs/>
          <w:sz w:val="28"/>
        </w:rPr>
        <w:t>竞赛内容</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网络系统管理赛项基于企业真实项目，结合企业岗位技能需求，</w:t>
      </w:r>
      <w:bookmarkStart w:id="2" w:name="page9"/>
      <w:bookmarkEnd w:id="2"/>
      <w:r>
        <w:rPr>
          <w:rFonts w:hint="eastAsia" w:ascii="仿宋" w:hAnsi="Calibri" w:eastAsia="仿宋" w:cs="Arial"/>
          <w:sz w:val="28"/>
        </w:rPr>
        <w:t>在 规定时间内完成指定任务的网络系统规划和网络服务业务部署。</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lang w:eastAsia="zh-CN"/>
        </w:rPr>
        <w:t>（</w:t>
      </w:r>
      <w:r>
        <w:rPr>
          <w:rFonts w:hint="eastAsia" w:ascii="仿宋" w:hAnsi="Calibri" w:eastAsia="仿宋" w:cs="Arial"/>
          <w:b/>
          <w:bCs/>
          <w:sz w:val="28"/>
          <w:lang w:val="en-US" w:eastAsia="zh-CN"/>
        </w:rPr>
        <w:t>一）</w:t>
      </w:r>
      <w:r>
        <w:rPr>
          <w:rFonts w:hint="eastAsia" w:ascii="仿宋" w:hAnsi="Calibri" w:eastAsia="仿宋" w:cs="Arial"/>
          <w:b/>
          <w:bCs/>
          <w:sz w:val="28"/>
        </w:rPr>
        <w:t>竞赛内容</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本竞赛结合国内行业、企业的实际业务和世赛标准来组织命题；本竞赛只考核技能部分，不涉及理论。本竞赛进行的技能实操考核，涉及 系统服务（Linux环境和Windows环境）模块、网络构建模块2个模块，详细内容如下表所示。</w:t>
      </w:r>
    </w:p>
    <w:tbl>
      <w:tblPr>
        <w:tblStyle w:val="8"/>
        <w:tblW w:w="6854" w:type="dxa"/>
        <w:tblInd w:w="672" w:type="dxa"/>
        <w:tblLayout w:type="autofit"/>
        <w:tblCellMar>
          <w:top w:w="0" w:type="dxa"/>
          <w:left w:w="108" w:type="dxa"/>
          <w:bottom w:w="0" w:type="dxa"/>
          <w:right w:w="108" w:type="dxa"/>
        </w:tblCellMar>
      </w:tblPr>
      <w:tblGrid>
        <w:gridCol w:w="1174"/>
        <w:gridCol w:w="1660"/>
        <w:gridCol w:w="940"/>
        <w:gridCol w:w="1690"/>
        <w:gridCol w:w="1390"/>
      </w:tblGrid>
      <w:tr>
        <w:tblPrEx>
          <w:tblCellMar>
            <w:top w:w="0" w:type="dxa"/>
            <w:left w:w="108" w:type="dxa"/>
            <w:bottom w:w="0" w:type="dxa"/>
            <w:right w:w="108" w:type="dxa"/>
          </w:tblCellMar>
        </w:tblPrEx>
        <w:trPr>
          <w:trHeight w:val="285" w:hRule="atLeast"/>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模块编号</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模块名称</w:t>
            </w:r>
          </w:p>
        </w:tc>
        <w:tc>
          <w:tcPr>
            <w:tcW w:w="40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分数</w:t>
            </w:r>
          </w:p>
        </w:tc>
      </w:tr>
      <w:tr>
        <w:tblPrEx>
          <w:tblCellMar>
            <w:top w:w="0" w:type="dxa"/>
            <w:left w:w="108" w:type="dxa"/>
            <w:bottom w:w="0" w:type="dxa"/>
            <w:right w:w="108" w:type="dxa"/>
          </w:tblCellMar>
        </w:tblPrEx>
        <w:trPr>
          <w:trHeight w:val="285" w:hRule="atLeast"/>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b/>
                <w:bCs/>
                <w:color w:val="000000"/>
                <w:kern w:val="0"/>
                <w:sz w:val="22"/>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b/>
                <w:bCs/>
                <w:color w:val="000000"/>
                <w:kern w:val="0"/>
                <w:sz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评价分</w:t>
            </w:r>
          </w:p>
        </w:tc>
        <w:tc>
          <w:tcPr>
            <w:tcW w:w="16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测量分（%）</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合计（%）</w:t>
            </w:r>
          </w:p>
        </w:tc>
      </w:tr>
      <w:tr>
        <w:tblPrEx>
          <w:tblCellMar>
            <w:top w:w="0" w:type="dxa"/>
            <w:left w:w="108" w:type="dxa"/>
            <w:bottom w:w="0" w:type="dxa"/>
            <w:right w:w="108" w:type="dxa"/>
          </w:tblCellMar>
        </w:tblPrEx>
        <w:trPr>
          <w:trHeight w:val="285" w:hRule="atLeast"/>
        </w:trPr>
        <w:tc>
          <w:tcPr>
            <w:tcW w:w="11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A</w:t>
            </w:r>
          </w:p>
        </w:tc>
        <w:tc>
          <w:tcPr>
            <w:tcW w:w="166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系统服务</w:t>
            </w:r>
          </w:p>
        </w:tc>
        <w:tc>
          <w:tcPr>
            <w:tcW w:w="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w:t>
            </w:r>
          </w:p>
        </w:tc>
        <w:tc>
          <w:tcPr>
            <w:tcW w:w="16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r>
      <w:tr>
        <w:tblPrEx>
          <w:tblCellMar>
            <w:top w:w="0" w:type="dxa"/>
            <w:left w:w="108" w:type="dxa"/>
            <w:bottom w:w="0" w:type="dxa"/>
            <w:right w:w="108" w:type="dxa"/>
          </w:tblCellMar>
        </w:tblPrEx>
        <w:trPr>
          <w:trHeight w:val="285" w:hRule="atLeast"/>
        </w:trPr>
        <w:tc>
          <w:tcPr>
            <w:tcW w:w="11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B</w:t>
            </w:r>
          </w:p>
        </w:tc>
        <w:tc>
          <w:tcPr>
            <w:tcW w:w="166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网络构建</w:t>
            </w:r>
          </w:p>
        </w:tc>
        <w:tc>
          <w:tcPr>
            <w:tcW w:w="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w:t>
            </w:r>
          </w:p>
        </w:tc>
        <w:tc>
          <w:tcPr>
            <w:tcW w:w="16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r>
      <w:tr>
        <w:tblPrEx>
          <w:tblCellMar>
            <w:top w:w="0" w:type="dxa"/>
            <w:left w:w="108" w:type="dxa"/>
            <w:bottom w:w="0" w:type="dxa"/>
            <w:right w:w="108" w:type="dxa"/>
          </w:tblCellMar>
        </w:tblPrEx>
        <w:trPr>
          <w:trHeight w:val="285" w:hRule="atLeast"/>
        </w:trPr>
        <w:tc>
          <w:tcPr>
            <w:tcW w:w="546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总计</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100</w:t>
            </w:r>
          </w:p>
        </w:tc>
      </w:tr>
    </w:tbl>
    <w:p>
      <w:pPr>
        <w:adjustRightInd w:val="0"/>
        <w:snapToGrid w:val="0"/>
        <w:ind w:firstLine="420" w:firstLineChars="200"/>
        <w:rPr>
          <w:rFonts w:ascii="宋体" w:hAnsi="宋体" w:eastAsia="宋体"/>
          <w:szCs w:val="15"/>
        </w:rPr>
      </w:pPr>
      <w:r>
        <w:rPr>
          <w:rFonts w:ascii="宋体" w:hAnsi="宋体" w:eastAsia="宋体"/>
          <w:szCs w:val="15"/>
        </w:rPr>
        <w:t>备注 1：关于职业规范与赛场纪律由现场裁判评分，权重</w:t>
      </w:r>
      <w:r>
        <w:rPr>
          <w:rFonts w:hint="eastAsia" w:ascii="宋体" w:hAnsi="宋体" w:eastAsia="宋体"/>
          <w:szCs w:val="15"/>
        </w:rPr>
        <w:t>2</w:t>
      </w:r>
      <w:r>
        <w:rPr>
          <w:rFonts w:ascii="宋体" w:hAnsi="宋体" w:eastAsia="宋体"/>
          <w:szCs w:val="15"/>
        </w:rPr>
        <w:t>%，作为额外加分累计。</w:t>
      </w:r>
    </w:p>
    <w:p>
      <w:pPr>
        <w:adjustRightInd w:val="0"/>
        <w:snapToGrid w:val="0"/>
        <w:ind w:firstLine="420" w:firstLineChars="200"/>
        <w:rPr>
          <w:rFonts w:ascii="宋体" w:hAnsi="宋体" w:eastAsia="宋体"/>
          <w:szCs w:val="15"/>
        </w:rPr>
      </w:pPr>
      <w:r>
        <w:rPr>
          <w:rFonts w:hint="eastAsia" w:ascii="宋体" w:hAnsi="宋体" w:eastAsia="宋体" w:cs="Times New Roman"/>
          <w:szCs w:val="15"/>
          <w:lang w:bidi="ar"/>
        </w:rPr>
        <w:t>备注 2：关于文档制作规范性由评分裁判评分，权重 3%，作为额外加分累计。</w:t>
      </w:r>
    </w:p>
    <w:p>
      <w:pPr>
        <w:adjustRightInd w:val="0"/>
        <w:snapToGrid w:val="0"/>
        <w:ind w:firstLine="420" w:firstLineChars="200"/>
        <w:rPr>
          <w:rFonts w:ascii="宋体" w:hAnsi="宋体" w:eastAsia="宋体"/>
          <w:szCs w:val="15"/>
        </w:rPr>
      </w:pPr>
      <w:r>
        <w:rPr>
          <w:rFonts w:ascii="宋体" w:hAnsi="宋体" w:eastAsia="宋体"/>
          <w:szCs w:val="15"/>
        </w:rPr>
        <w:t xml:space="preserve">备注 </w:t>
      </w:r>
      <w:r>
        <w:rPr>
          <w:rFonts w:hint="eastAsia" w:ascii="宋体" w:hAnsi="宋体" w:eastAsia="宋体"/>
          <w:szCs w:val="15"/>
        </w:rPr>
        <w:t>3</w:t>
      </w:r>
      <w:r>
        <w:rPr>
          <w:rFonts w:ascii="宋体" w:hAnsi="宋体" w:eastAsia="宋体"/>
          <w:szCs w:val="15"/>
        </w:rPr>
        <w:t>：关于最终赛题难度将由专家组讨论决定。</w:t>
      </w:r>
    </w:p>
    <w:p>
      <w:pPr>
        <w:adjustRightInd w:val="0"/>
        <w:snapToGrid w:val="0"/>
        <w:ind w:firstLine="420" w:firstLineChars="200"/>
        <w:rPr>
          <w:rFonts w:hint="eastAsia" w:ascii="宋体" w:hAnsi="宋体" w:eastAsia="宋体"/>
          <w:szCs w:val="15"/>
          <w:lang w:eastAsia="zh-CN"/>
        </w:rPr>
      </w:pP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参赛选手需要根据赛项的要求，对竞赛现场环境中部署的网络服务项目进行分析、设计、连接、配置、调试和排障；对网络中的服务器和客户端进行相应配置，实现全网的互联互通，并保障网络安全。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lang w:eastAsia="zh-CN"/>
        </w:rPr>
        <w:t>（</w:t>
      </w:r>
      <w:r>
        <w:rPr>
          <w:rFonts w:hint="eastAsia" w:ascii="仿宋" w:hAnsi="Calibri" w:eastAsia="仿宋" w:cs="Arial"/>
          <w:b/>
          <w:bCs/>
          <w:sz w:val="28"/>
          <w:lang w:val="en-US" w:eastAsia="zh-CN"/>
        </w:rPr>
        <w:t>二）</w:t>
      </w:r>
      <w:r>
        <w:rPr>
          <w:rFonts w:hint="eastAsia" w:ascii="仿宋" w:hAnsi="Calibri" w:eastAsia="仿宋" w:cs="Arial"/>
          <w:b/>
          <w:bCs/>
          <w:sz w:val="28"/>
        </w:rPr>
        <w:t>模块介绍</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本次竞赛中各模块的基本内容如下所示。</w:t>
      </w:r>
    </w:p>
    <w:tbl>
      <w:tblPr>
        <w:tblStyle w:val="8"/>
        <w:tblW w:w="5860" w:type="dxa"/>
        <w:tblInd w:w="686" w:type="dxa"/>
        <w:tblLayout w:type="autofit"/>
        <w:tblCellMar>
          <w:top w:w="0" w:type="dxa"/>
          <w:left w:w="108" w:type="dxa"/>
          <w:bottom w:w="0" w:type="dxa"/>
          <w:right w:w="108" w:type="dxa"/>
        </w:tblCellMar>
      </w:tblPr>
      <w:tblGrid>
        <w:gridCol w:w="1640"/>
        <w:gridCol w:w="1660"/>
        <w:gridCol w:w="2560"/>
      </w:tblGrid>
      <w:tr>
        <w:tblPrEx>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模块编号</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模块名称</w:t>
            </w:r>
          </w:p>
        </w:tc>
        <w:tc>
          <w:tcPr>
            <w:tcW w:w="256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工作任务</w:t>
            </w:r>
          </w:p>
        </w:tc>
      </w:tr>
      <w:tr>
        <w:tblPrEx>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A</w:t>
            </w:r>
          </w:p>
        </w:tc>
        <w:tc>
          <w:tcPr>
            <w:tcW w:w="16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系统服务</w:t>
            </w:r>
          </w:p>
        </w:tc>
        <w:tc>
          <w:tcPr>
            <w:tcW w:w="25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安装、配置及测试服务</w:t>
            </w:r>
          </w:p>
        </w:tc>
      </w:tr>
      <w:tr>
        <w:tblPrEx>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B</w:t>
            </w:r>
          </w:p>
        </w:tc>
        <w:tc>
          <w:tcPr>
            <w:tcW w:w="16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网络构建</w:t>
            </w:r>
          </w:p>
        </w:tc>
        <w:tc>
          <w:tcPr>
            <w:tcW w:w="25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连接、配置及调试网络</w:t>
            </w:r>
          </w:p>
        </w:tc>
      </w:tr>
    </w:tbl>
    <w:p>
      <w:pPr>
        <w:adjustRightInd w:val="0"/>
        <w:snapToGrid w:val="0"/>
        <w:rPr>
          <w:rFonts w:ascii="Times New Roman" w:hAnsi="Times New Roman"/>
        </w:rPr>
      </w:pPr>
      <w:r>
        <w:rPr>
          <w:rFonts w:ascii="Times New Roman" w:hAnsi="Times New Roman" w:eastAsia="Times New Roman"/>
          <w:sz w:val="24"/>
        </w:rPr>
        <mc:AlternateContent>
          <mc:Choice Requires="wps">
            <w:drawing>
              <wp:anchor distT="0" distB="0" distL="114300" distR="114300" simplePos="0" relativeHeight="251660288" behindDoc="1" locked="0" layoutInCell="0" allowOverlap="1">
                <wp:simplePos x="0" y="0"/>
                <wp:positionH relativeFrom="column">
                  <wp:posOffset>5292090</wp:posOffset>
                </wp:positionH>
                <wp:positionV relativeFrom="paragraph">
                  <wp:posOffset>-397510</wp:posOffset>
                </wp:positionV>
                <wp:extent cx="12700" cy="12065"/>
                <wp:effectExtent l="0" t="2540" r="635" b="444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6.7pt;margin-top:-31.3pt;height:0.95pt;width:1pt;z-index:-251656192;mso-width-relative:page;mso-height-relative:page;" fillcolor="#000000" filled="t" stroked="t" coordsize="21600,21600" o:allowincell="f" o:gfxdata="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CPdkX2AAAAAsBAAAPAAAAAAAAAAEAIAAAACIAAABkcnMvZG93bnJl&#10;di54bWxQSwECFAAUAAAACACHTuJAVY1r8DYCAAB5BAAADgAAAAAAAAABACAAAAAnAQAAZHJzL2Uy&#10;b0RvYy54bWxQSwUGAAAAAAYABgBZAQAAzwUAAAAA&#10;">
                <v:fill on="t" focussize="0,0"/>
                <v:stroke color="#FFFFFF" miterlimit="8" joinstyle="miter"/>
                <v:imagedata o:title=""/>
                <o:lock v:ext="edit" aspectratio="f"/>
                <v:textbox>
                  <w:txbxContent>
                    <w:p>
                      <w:pPr>
                        <w:jc w:val="center"/>
                      </w:pPr>
                    </w:p>
                  </w:txbxContent>
                </v:textbox>
              </v:rect>
            </w:pict>
          </mc:Fallback>
        </mc:AlternateContent>
      </w:r>
      <w:bookmarkStart w:id="3" w:name="page10"/>
      <w:bookmarkEnd w:id="3"/>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其中，各模块的详细内容描述如下。</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1.</w:t>
      </w:r>
      <w:r>
        <w:rPr>
          <w:rFonts w:hint="eastAsia" w:ascii="仿宋" w:hAnsi="Calibri" w:eastAsia="仿宋" w:cs="Arial"/>
          <w:b/>
          <w:bCs/>
          <w:sz w:val="28"/>
        </w:rPr>
        <w:t>系统服务-Linux 环境模块</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依据设计图纸配置系统网络连接，依据信息系统构建要求，完成基于 Linux 系统的企业信息化系统的构建；在符合 LPI2 技术水平规范要求的情况下，管理多台 Linux 服务的网络资源、存储资源、计算资源的分配与管理，提供安全有效的信息化系统平台的服务。</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参赛选手需要掌握以下并不仅限于以下技能。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根据需求安装一个主流的 Linux 发行版。</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安装和配置 Linux 服务，如 Apache、MySQL等。</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根据预装计划分区。</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配置文件系统。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安装操作系统后对软件包进行管理。</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选择适当的网络配置和协议。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 Linux 安装选择适当的参数。</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配置必要的外设。</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为合法用户的安全访问管理存储设备。</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挂载和卸载不同的文件系统。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创建和修改文件和目录。</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执行内容和目录搜索。</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创建链接文件。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修改文件和目录的权限和所有者。</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识别和修改文件和目录默认权限。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对可记录式媒体进行访问和数据写入。</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 Linux 服务或进程以有效利用资源。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管理运行级别和系统初始化。</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通过标识、执行、撤消和管理等控制进程。</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修复（软件）包和脚本。</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监测和诊断网络活动。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管理打印作业和打印队列。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执行远程管理。</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通过创建、修改和使用命令来管理基本的 shell 脚本。</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通过创建、修改和删除命令来管理用户和组帐户。</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管理和访问邮件队列。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使用守护进程来调度将要执行的作业。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配置客户端网络服务和设置。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配置基本的服务器网络服务。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实现基本的路由和子网设置。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配置系统和执行基本的 makefile 修改以支持编译应用程序和驱动程序。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配置用于挂载硬盘或者分区的文件。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 DNS。</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配置网络接口卡。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Linux 打印服务。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应用基本的打印机权限。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配置日志文件。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X 窗口系统。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建立环境变量。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管理服务器/工作站安全参数以维护操作系统和数据完整性。</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配置安全环境文件。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给定安全需求，实施适当的加密配置。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使用适当的访问级别登录（系统）。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设置进程和特殊权限。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给定安全需求，实现基本的 IP 表/链。</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为文件和身份验证实现安全审计。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建立用户级安全。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配置便携式系统硬件。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RAID(冗余磁盘阵列)。</w:t>
      </w:r>
    </w:p>
    <w:p>
      <w:pPr>
        <w:adjustRightInd w:val="0"/>
        <w:snapToGrid w:val="0"/>
        <w:spacing w:line="360" w:lineRule="auto"/>
        <w:ind w:firstLine="562" w:firstLineChars="200"/>
        <w:rPr>
          <w:rFonts w:hint="eastAsia" w:ascii="仿宋" w:hAnsi="Calibri" w:eastAsia="仿宋" w:cs="Arial"/>
          <w:b/>
          <w:bCs/>
          <w:sz w:val="28"/>
        </w:rPr>
      </w:pPr>
      <w:bookmarkStart w:id="4" w:name="page12"/>
      <w:bookmarkEnd w:id="4"/>
      <w:r>
        <w:rPr>
          <w:rFonts w:hint="eastAsia" w:ascii="仿宋" w:hAnsi="Calibri" w:eastAsia="仿宋" w:cs="Arial"/>
          <w:b/>
          <w:bCs/>
          <w:sz w:val="28"/>
          <w:lang w:val="en-US" w:eastAsia="zh-CN"/>
        </w:rPr>
        <w:t>2.</w:t>
      </w:r>
      <w:r>
        <w:rPr>
          <w:rFonts w:hint="eastAsia" w:ascii="仿宋" w:hAnsi="Calibri" w:eastAsia="仿宋" w:cs="Arial"/>
          <w:b/>
          <w:bCs/>
          <w:sz w:val="28"/>
        </w:rPr>
        <w:t>系统服务-Windows 环境模块</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依据设计图纸要求，配置和管理 Windows 用户及应用服务器；在活动目录环境中实现用户、组和计算机账户统一管理，配置对共享文件夹的安全访问；为 Windows 远程管理安装和配置终端服务；创建控制用户桌面的设置等安全性的策略。</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参赛选手需要掌握以下并不仅限于以下技能。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管理本地、漫游和强制的用户（配置）文件。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在活动目录环境中实现用户、组和计算机帐户。</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配置对共享文件夹的访问。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为远程管理安装和配置终端服务。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安装和配置终端服务，为瘦客户端提供应用程序。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配置文件系统权限。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建控制用户桌面的设置和安全性的策略。</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管理策略的应用。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通过策略来部署软件。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配置和管理网络服务器。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配置网站的身份验证。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为服务器执行系统还原。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管理备份过程。</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从服务器硬件故障中还原系统。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DNS 服务器的服务。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RAID(磁盘冗余阵列)。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远程管理网络的附属存储。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实现虚拟化软件。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在虚拟计算环境中执行系统还原。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管理审计设置和审计日志。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DHCP。</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验证 DHCP 的保留配置。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安装操作系统映像。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配置网络策略服务器。</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3.</w:t>
      </w:r>
      <w:r>
        <w:rPr>
          <w:rFonts w:hint="eastAsia" w:ascii="仿宋" w:hAnsi="Calibri" w:eastAsia="仿宋" w:cs="Arial"/>
          <w:b/>
          <w:bCs/>
          <w:sz w:val="28"/>
        </w:rPr>
        <w:t>网络构建模块</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依据网络构建的服务需求，构建复杂的网络及服务，完成各类网络设备的配置与管理。根据行业认证要求，用户需求及设计要求，在所有有可能在网络环境出现的网络设备上，例如：路由器、数据中心交换机、出口网关、无线设备等等应用各种类型的服务配置，包括软件及硬件升级，设计并执行灾难恢复流程等。</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参赛选手需要掌握以下并不仅限于以下技能。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根据拓扑规划，根据设备在实际案例中的位置规范配置设备。</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会配置设备的远程访问，会配置接口描述，按照标准规范密码等。</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恢复与重置网络设备密码。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根据软件版本发布规定升级到专属的软件版本。</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配置交换机安全技术（如SSH、ACL、SNMP等）实现网络安全性。</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会进行网络联调、测试和验证。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配置虚拟局域网技术，实现网络广播隔离与区域划分。</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配置交换机DHCP中继，实现用户动态获取地址。</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配置交换机生成树技术，实现网络冗余与备份。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配置交换机路由技术（如静态、RIP、OSPF、BGP等），实现网络连通。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根据需求描述及对功能理解，完成路由器配置。包括静态路由、RIP、OSPF、BGP等，实现网络连通。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掌握IPV6常用路由协议，会组建IPV6网络，实现网络连通。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会配置IPV6隧道技术，实现IPV6 over IPV4通信。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配置和应用常用广域网技术（如 PPP 等）。</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配置交换机高可靠性技术（如链路聚合、DLDP、BFD、Track等），实现网络中链路快速收敛。</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配置交换机VRRP技术，实现网关冗余与备份。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会实施路由策略，控制路由按照指定策略转发。</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配置交换机网络设备虚拟交换技术，实现数据中心网络的虚拟化，实现网络中心网络的高可靠。</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配置无线控制器转发模式，实现无线网络中用户数据本地转发或集中转发。</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使用无线控制器创建SSID,实现无线用户关联SSID。</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配置无线控制器热备功能，实现双AC的负载均衡。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实现无线认证，实现无线用户安全准入。</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使用无线控制器配置AP隔离，实现无线用户二层隔离。</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使用无线控制器配置限制，实现特性用户流量限速。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使用无线控制器配置数据加密，实现用户通信安全。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使用出网关配置NAPT及时间控制，实现用户访问互联网。</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使用出口网关Web Portal认证，实现用户身份认证。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使用出口网关流量控制，实现特定业务速率限制。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使用出口网关行为审计，实现内网用户数据安全审计。</w:t>
      </w:r>
    </w:p>
    <w:p>
      <w:pPr>
        <w:numPr>
          <w:ilvl w:val="0"/>
          <w:numId w:val="2"/>
        </w:numPr>
        <w:adjustRightInd w:val="0"/>
        <w:snapToGrid w:val="0"/>
        <w:spacing w:line="360" w:lineRule="auto"/>
        <w:ind w:left="0" w:leftChars="0" w:firstLine="640" w:firstLineChars="0"/>
        <w:rPr>
          <w:rFonts w:hint="eastAsia" w:ascii="仿宋" w:hAnsi="Calibri" w:eastAsia="仿宋" w:cs="Arial"/>
          <w:sz w:val="28"/>
        </w:rPr>
      </w:pPr>
      <w:r>
        <w:rPr>
          <w:rFonts w:hint="eastAsia" w:ascii="仿宋" w:hAnsi="Calibri" w:eastAsia="仿宋" w:cs="Arial"/>
          <w:sz w:val="28"/>
        </w:rPr>
        <w:t>使用出口网关实现VPN，基于行业应用场景实现外网用户安全访问内网服务，实现隧道技术，包括不限于 GRE 隧道，Ipsec隧道等。</w:t>
      </w:r>
    </w:p>
    <w:p>
      <w:pPr>
        <w:numPr>
          <w:ilvl w:val="0"/>
          <w:numId w:val="2"/>
        </w:numPr>
        <w:adjustRightInd w:val="0"/>
        <w:snapToGrid w:val="0"/>
        <w:spacing w:line="360" w:lineRule="auto"/>
        <w:ind w:left="0" w:leftChars="0" w:firstLine="640" w:firstLineChars="0"/>
        <w:rPr>
          <w:rFonts w:ascii="仿宋" w:hAnsi="仿宋" w:eastAsia="仿宋"/>
          <w:sz w:val="22"/>
          <w:szCs w:val="16"/>
        </w:rPr>
      </w:pPr>
      <w:r>
        <w:rPr>
          <w:rFonts w:hint="eastAsia" w:ascii="仿宋" w:hAnsi="Calibri" w:eastAsia="仿宋" w:cs="Arial"/>
          <w:sz w:val="28"/>
          <w:lang w:val="en-US" w:eastAsia="zh-CN"/>
        </w:rPr>
        <w:t xml:space="preserve"> </w:t>
      </w:r>
      <w:r>
        <w:rPr>
          <w:rFonts w:hint="eastAsia" w:ascii="仿宋" w:hAnsi="Calibri" w:eastAsia="仿宋" w:cs="Arial"/>
          <w:sz w:val="28"/>
        </w:rPr>
        <w:t>会开展无线地勘和工勘，能绘制无线规划平面图、设计 AP 点位图、配置热图、规划设备清单和物料清单、计算无线规划的材料总价表。</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eastAsia="zh-CN"/>
        </w:rPr>
        <w:t>（</w:t>
      </w:r>
      <w:r>
        <w:rPr>
          <w:rFonts w:hint="eastAsia" w:ascii="仿宋" w:hAnsi="Calibri" w:eastAsia="仿宋" w:cs="Arial"/>
          <w:b/>
          <w:bCs/>
          <w:sz w:val="28"/>
          <w:lang w:val="en-US" w:eastAsia="zh-CN"/>
        </w:rPr>
        <w:t>三）</w:t>
      </w:r>
      <w:r>
        <w:rPr>
          <w:rFonts w:hint="eastAsia" w:ascii="仿宋" w:hAnsi="Calibri" w:eastAsia="仿宋" w:cs="Arial"/>
          <w:b/>
          <w:bCs/>
          <w:sz w:val="28"/>
        </w:rPr>
        <w:t>其他要求</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参赛选手在竞赛过程中，还需要能有序组织和安排工作、注意赛场安全、保持环境整洁、个人着装规范、注意安全保护、遵守赛场纪律以及自我管理等职业能力作为额外加分项累加予以鼓励。</w:t>
      </w:r>
      <w:bookmarkStart w:id="5" w:name="page15"/>
      <w:bookmarkEnd w:id="5"/>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五</w:t>
      </w:r>
      <w:r>
        <w:rPr>
          <w:rFonts w:hint="eastAsia" w:ascii="仿宋" w:hAnsi="Calibri" w:eastAsia="仿宋" w:cs="Arial"/>
          <w:b/>
          <w:bCs/>
          <w:sz w:val="28"/>
          <w:lang w:eastAsia="zh-CN"/>
        </w:rPr>
        <w:t>、</w:t>
      </w:r>
      <w:r>
        <w:rPr>
          <w:rFonts w:hint="eastAsia" w:ascii="仿宋" w:hAnsi="Calibri" w:eastAsia="仿宋" w:cs="Arial"/>
          <w:b/>
          <w:bCs/>
          <w:sz w:val="28"/>
        </w:rPr>
        <w:t>竞赛方式</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（一）选手构成</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本赛项为</w:t>
      </w:r>
      <w:r>
        <w:rPr>
          <w:rFonts w:hint="eastAsia" w:ascii="仿宋" w:hAnsi="Calibri" w:eastAsia="仿宋" w:cs="Arial"/>
          <w:sz w:val="28"/>
          <w:lang w:val="en-US" w:eastAsia="zh-CN"/>
        </w:rPr>
        <w:t>个人</w:t>
      </w:r>
      <w:r>
        <w:rPr>
          <w:rFonts w:hint="eastAsia" w:ascii="仿宋" w:hAnsi="Calibri" w:eastAsia="仿宋" w:cs="Arial"/>
          <w:sz w:val="28"/>
        </w:rPr>
        <w:t>赛，每队由本校1位选手组成，按照各院校专任教师数的10%核定参赛总名额，各赛项名额自定，同一赛项每校不得超过3人(队)。近两年获得省级技能大赛一等奖的教师不参加本次同一项目同一组别的省级大赛。</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（二）竞赛时间安排</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本赛项分 A、B 两个模块。所有参赛选手在指定时间、按照比赛要求完成比赛任务。A</w:t>
      </w:r>
      <w:r>
        <w:rPr>
          <w:rFonts w:hint="eastAsia" w:ascii="仿宋" w:hAnsi="Calibri" w:eastAsia="仿宋" w:cs="Arial"/>
          <w:sz w:val="28"/>
          <w:lang w:val="en-US" w:eastAsia="zh-CN"/>
        </w:rPr>
        <w:t>模块用时180分钟，B模块用时150分钟</w:t>
      </w:r>
      <w:bookmarkStart w:id="14" w:name="_GoBack"/>
      <w:bookmarkEnd w:id="14"/>
      <w:r>
        <w:rPr>
          <w:rFonts w:hint="eastAsia" w:ascii="仿宋" w:hAnsi="Calibri" w:eastAsia="仿宋" w:cs="Arial"/>
          <w:sz w:val="28"/>
        </w:rPr>
        <w:t>。</w:t>
      </w:r>
    </w:p>
    <w:p>
      <w:pPr>
        <w:numPr>
          <w:ilvl w:val="0"/>
          <w:numId w:val="3"/>
        </w:numPr>
        <w:adjustRightInd w:val="0"/>
        <w:snapToGrid w:val="0"/>
        <w:spacing w:line="360" w:lineRule="auto"/>
        <w:ind w:firstLine="562" w:firstLineChars="200"/>
        <w:rPr>
          <w:rFonts w:hint="eastAsia" w:ascii="仿宋" w:hAnsi="Calibri" w:eastAsia="仿宋" w:cs="Arial"/>
          <w:b/>
          <w:bCs/>
          <w:sz w:val="28"/>
          <w:lang w:val="en-US" w:eastAsia="zh-CN"/>
        </w:rPr>
      </w:pPr>
      <w:r>
        <w:rPr>
          <w:rFonts w:hint="eastAsia" w:ascii="仿宋" w:hAnsi="Calibri" w:eastAsia="仿宋" w:cs="Arial"/>
          <w:b/>
          <w:bCs/>
          <w:sz w:val="28"/>
          <w:lang w:val="en-US" w:eastAsia="zh-CN"/>
        </w:rPr>
        <w:t>竞赛环境</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（一）赛场布局要求</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竞赛场地包括参赛选手竞赛区域、裁判区域、设备耗材区、技术支持区、服务</w:t>
      </w:r>
      <w:r>
        <w:rPr>
          <w:rFonts w:hint="eastAsia" w:ascii="仿宋_GB2312" w:hAnsi="ˎ̥" w:eastAsia="仿宋_GB2312" w:cs="宋体"/>
          <w:color w:val="000000"/>
          <w:spacing w:val="-21"/>
          <w:kern w:val="0"/>
          <w:sz w:val="32"/>
          <w:szCs w:val="32"/>
          <w:shd w:val="clear" w:color="auto" w:fill="FFFFFF"/>
        </w:rPr>
        <w:t>区。</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1.参赛选手竞赛区域。按照U形布置竞</w:t>
      </w:r>
      <w:bookmarkStart w:id="6" w:name="page22"/>
      <w:bookmarkEnd w:id="6"/>
      <w:r>
        <w:rPr>
          <w:rFonts w:hint="eastAsia" w:ascii="仿宋" w:hAnsi="Calibri" w:eastAsia="仿宋" w:cs="Arial"/>
          <w:sz w:val="28"/>
        </w:rPr>
        <w:t>赛工位。每个竞赛工位标有醒目的工位编号，确保参赛队之间互不干扰。赛场要求竞赛过程全程无死角视频监控，监控录像保存3个月。环境标准要求保证赛场采光、照明和通风良好；提供稳定的水、电，并提供应急的备用电源；提供足够的干粉灭火器材，每个工位提供一个垃圾箱。</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2.裁判区域。供裁判休息及工作场地。共配有电脑</w:t>
      </w:r>
      <w:r>
        <w:rPr>
          <w:rFonts w:hint="eastAsia" w:ascii="仿宋" w:hAnsi="Calibri" w:eastAsia="仿宋" w:cs="Arial"/>
          <w:sz w:val="28"/>
          <w:lang w:val="en-US" w:eastAsia="zh-CN"/>
        </w:rPr>
        <w:t>3</w:t>
      </w:r>
      <w:r>
        <w:rPr>
          <w:rFonts w:hint="eastAsia" w:ascii="仿宋" w:hAnsi="Calibri" w:eastAsia="仿宋" w:cs="Arial"/>
          <w:sz w:val="28"/>
        </w:rPr>
        <w:t>台；A4激光打印机1台；桌椅</w:t>
      </w:r>
      <w:r>
        <w:rPr>
          <w:rFonts w:hint="eastAsia" w:ascii="仿宋" w:hAnsi="Calibri" w:eastAsia="仿宋" w:cs="Arial"/>
          <w:sz w:val="28"/>
          <w:lang w:val="en-US" w:eastAsia="zh-CN"/>
        </w:rPr>
        <w:t>5</w:t>
      </w:r>
      <w:r>
        <w:rPr>
          <w:rFonts w:hint="eastAsia" w:ascii="仿宋" w:hAnsi="Calibri" w:eastAsia="仿宋" w:cs="Arial"/>
          <w:sz w:val="28"/>
        </w:rPr>
        <w:t>套；饮水机、纸杯、文具用品若干。</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3.技术支持区。为技术支持人员的工作场地，为参赛选手竞赛提供技术支持。</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4. 服务区。提供医疗等服务保障，并用隔离带隔离</w:t>
      </w:r>
      <w:r>
        <w:rPr>
          <w:rFonts w:hint="eastAsia" w:ascii="仿宋_GB2312" w:hAnsi="ˎ̥" w:eastAsia="仿宋_GB2312" w:cs="宋体"/>
          <w:color w:val="000000"/>
          <w:spacing w:val="-21"/>
          <w:kern w:val="0"/>
          <w:sz w:val="32"/>
          <w:szCs w:val="32"/>
          <w:shd w:val="clear" w:color="auto" w:fill="FFFFFF"/>
        </w:rPr>
        <w:t>。</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（二）赛场选手安全防护要求</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1.参赛选手应严格遵守设备安全操作规程。</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2.参赛选手停止操作时，应保证设备的正常运行，比赛结束后，所有设备保持运行状态，不要拆、动硬件连接，确保设备正常运行，实现正常评分。</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3.参赛选手应遵从安全规范操作，例如：ESD(静电放电)设备安全使用及储存。</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4.参赛选手应保证设备和信息的完整及安全。</w:t>
      </w:r>
    </w:p>
    <w:p>
      <w:pPr>
        <w:adjustRightInd w:val="0"/>
        <w:snapToGrid w:val="0"/>
        <w:spacing w:line="360" w:lineRule="auto"/>
        <w:ind w:firstLine="562" w:firstLineChars="200"/>
        <w:rPr>
          <w:rFonts w:hint="default" w:ascii="仿宋" w:hAnsi="Calibri" w:eastAsia="仿宋" w:cs="Arial"/>
          <w:b/>
          <w:bCs/>
          <w:sz w:val="28"/>
          <w:lang w:val="en-US" w:eastAsia="zh-CN"/>
        </w:rPr>
      </w:pPr>
      <w:r>
        <w:rPr>
          <w:rFonts w:hint="eastAsia" w:ascii="仿宋" w:hAnsi="Calibri" w:eastAsia="仿宋" w:cs="Arial"/>
          <w:b/>
          <w:bCs/>
          <w:sz w:val="28"/>
          <w:lang w:val="en-US" w:eastAsia="zh-CN"/>
        </w:rPr>
        <w:t>七、技术规范</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参赛代表队在实施竞赛项目中要求遵循如下规范。</w:t>
      </w:r>
    </w:p>
    <w:tbl>
      <w:tblPr>
        <w:tblStyle w:val="8"/>
        <w:tblW w:w="0" w:type="auto"/>
        <w:tblInd w:w="113" w:type="dxa"/>
        <w:tblLayout w:type="autofit"/>
        <w:tblCellMar>
          <w:top w:w="0" w:type="dxa"/>
          <w:left w:w="108" w:type="dxa"/>
          <w:bottom w:w="0" w:type="dxa"/>
          <w:right w:w="108" w:type="dxa"/>
        </w:tblCellMar>
      </w:tblPr>
      <w:tblGrid>
        <w:gridCol w:w="698"/>
        <w:gridCol w:w="2775"/>
        <w:gridCol w:w="5362"/>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标准号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中文标准名称</w:t>
            </w:r>
          </w:p>
        </w:tc>
      </w:tr>
      <w:tr>
        <w:tblPrEx>
          <w:tblCellMar>
            <w:top w:w="0" w:type="dxa"/>
            <w:left w:w="108" w:type="dxa"/>
            <w:bottom w:w="0" w:type="dxa"/>
            <w:right w:w="108" w:type="dxa"/>
          </w:tblCellMar>
        </w:tblPrEx>
        <w:trPr>
          <w:trHeight w:val="13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教育部职业教育与成人教育司</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高等职业学校专业教学标准（试行）—电子信息大类</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GB50174-2008</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电子信息系统机房设计规范</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GB21671-2008</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基于以太网技术的局域网系统验收测评规范</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GB/T22239-2008</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信息系统安全等级保护基本要求</w:t>
            </w:r>
          </w:p>
        </w:tc>
      </w:tr>
    </w:tbl>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八</w:t>
      </w:r>
      <w:r>
        <w:rPr>
          <w:rFonts w:hint="eastAsia" w:ascii="仿宋" w:hAnsi="Calibri" w:eastAsia="仿宋" w:cs="Arial"/>
          <w:b/>
          <w:bCs/>
          <w:sz w:val="28"/>
          <w:lang w:eastAsia="zh-CN"/>
        </w:rPr>
        <w:t>、</w:t>
      </w:r>
      <w:r>
        <w:rPr>
          <w:rFonts w:hint="eastAsia" w:ascii="仿宋" w:hAnsi="Calibri" w:eastAsia="仿宋" w:cs="Arial"/>
          <w:b/>
          <w:bCs/>
          <w:sz w:val="28"/>
        </w:rPr>
        <w:t>技术平台</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w:t>（一）设备清单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 PC</w:t>
      </w:r>
    </w:p>
    <w:tbl>
      <w:tblPr>
        <w:tblStyle w:val="8"/>
        <w:tblW w:w="8340" w:type="dxa"/>
        <w:tblInd w:w="113" w:type="dxa"/>
        <w:tblLayout w:type="fixed"/>
        <w:tblCellMar>
          <w:top w:w="0" w:type="dxa"/>
          <w:left w:w="108" w:type="dxa"/>
          <w:bottom w:w="0" w:type="dxa"/>
          <w:right w:w="108" w:type="dxa"/>
        </w:tblCellMar>
      </w:tblPr>
      <w:tblGrid>
        <w:gridCol w:w="702"/>
        <w:gridCol w:w="1285"/>
        <w:gridCol w:w="4736"/>
        <w:gridCol w:w="791"/>
        <w:gridCol w:w="826"/>
      </w:tblGrid>
      <w:tr>
        <w:tblPrEx>
          <w:tblCellMar>
            <w:top w:w="0" w:type="dxa"/>
            <w:left w:w="108" w:type="dxa"/>
            <w:bottom w:w="0" w:type="dxa"/>
            <w:right w:w="108" w:type="dxa"/>
          </w:tblCellMar>
        </w:tblPrEx>
        <w:trPr>
          <w:trHeight w:val="414"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序号</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设备名称</w:t>
            </w:r>
          </w:p>
        </w:tc>
        <w:tc>
          <w:tcPr>
            <w:tcW w:w="473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型号</w:t>
            </w:r>
          </w:p>
        </w:tc>
        <w:tc>
          <w:tcPr>
            <w:tcW w:w="79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单位</w:t>
            </w:r>
          </w:p>
        </w:tc>
        <w:tc>
          <w:tcPr>
            <w:tcW w:w="8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数量</w:t>
            </w:r>
          </w:p>
        </w:tc>
      </w:tr>
      <w:tr>
        <w:tblPrEx>
          <w:tblCellMar>
            <w:top w:w="0" w:type="dxa"/>
            <w:left w:w="108" w:type="dxa"/>
            <w:bottom w:w="0" w:type="dxa"/>
            <w:right w:w="108" w:type="dxa"/>
          </w:tblCellMar>
        </w:tblPrEx>
        <w:trPr>
          <w:trHeight w:val="1408"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8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电脑</w:t>
            </w:r>
          </w:p>
        </w:tc>
        <w:tc>
          <w:tcPr>
            <w:tcW w:w="4736"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CPU：Intel I7（4 核）以上; 内存： 32G; 硬盘：512G 的 SSD 固态硬盘和 1T 的机械硬盘；网卡： 千兆网卡（1 块）；显示器</w:t>
            </w:r>
          </w:p>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1"/>
                <w:szCs w:val="21"/>
              </w:rPr>
              <w:t>备注：其中 1 台 PC 配备双网卡</w:t>
            </w:r>
          </w:p>
        </w:tc>
        <w:tc>
          <w:tcPr>
            <w:tcW w:w="79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82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r>
        <w:tblPrEx>
          <w:tblCellMar>
            <w:top w:w="0" w:type="dxa"/>
            <w:left w:w="108" w:type="dxa"/>
            <w:bottom w:w="0" w:type="dxa"/>
            <w:right w:w="108" w:type="dxa"/>
          </w:tblCellMar>
        </w:tblPrEx>
        <w:trPr>
          <w:trHeight w:val="285"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8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显示器</w:t>
            </w:r>
          </w:p>
        </w:tc>
        <w:tc>
          <w:tcPr>
            <w:tcW w:w="4736" w:type="dxa"/>
            <w:tcBorders>
              <w:top w:val="nil"/>
              <w:left w:val="nil"/>
              <w:bottom w:val="single" w:color="auto" w:sz="4" w:space="0"/>
              <w:right w:val="single" w:color="auto" w:sz="4" w:space="0"/>
            </w:tcBorders>
            <w:shd w:val="clear" w:color="auto" w:fill="auto"/>
            <w:noWrap/>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15 英寸及以上</w:t>
            </w:r>
          </w:p>
        </w:tc>
        <w:tc>
          <w:tcPr>
            <w:tcW w:w="79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82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bookmarkStart w:id="7" w:name="page25"/>
      <w:bookmarkEnd w:id="7"/>
      <w:r>
        <w:rPr>
          <w:rFonts w:hint="eastAsia" w:ascii="仿宋" w:hAnsi="Calibri" w:eastAsia="仿宋" w:cs="Arial"/>
          <w:sz w:val="28"/>
        </w:rPr>
        <w:t>2、网络设备</w:t>
      </w:r>
    </w:p>
    <w:tbl>
      <w:tblPr>
        <w:tblStyle w:val="8"/>
        <w:tblW w:w="8339" w:type="dxa"/>
        <w:tblInd w:w="113" w:type="dxa"/>
        <w:tblLayout w:type="fixed"/>
        <w:tblCellMar>
          <w:top w:w="0" w:type="dxa"/>
          <w:left w:w="108" w:type="dxa"/>
          <w:bottom w:w="0" w:type="dxa"/>
          <w:right w:w="108" w:type="dxa"/>
        </w:tblCellMar>
      </w:tblPr>
      <w:tblGrid>
        <w:gridCol w:w="704"/>
        <w:gridCol w:w="1295"/>
        <w:gridCol w:w="2391"/>
        <w:gridCol w:w="2337"/>
        <w:gridCol w:w="771"/>
        <w:gridCol w:w="841"/>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12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设备名称</w:t>
            </w:r>
          </w:p>
        </w:tc>
        <w:tc>
          <w:tcPr>
            <w:tcW w:w="239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型号</w:t>
            </w:r>
          </w:p>
        </w:tc>
        <w:tc>
          <w:tcPr>
            <w:tcW w:w="23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锐捷网络</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单位</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数量</w:t>
            </w:r>
          </w:p>
        </w:tc>
      </w:tr>
      <w:tr>
        <w:tblPrEx>
          <w:tblCellMar>
            <w:top w:w="0" w:type="dxa"/>
            <w:left w:w="108" w:type="dxa"/>
            <w:bottom w:w="0" w:type="dxa"/>
            <w:right w:w="108" w:type="dxa"/>
          </w:tblCellMar>
        </w:tblPrEx>
        <w:trPr>
          <w:trHeight w:val="5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1295"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路由器</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模块路由器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RG-RSR20-14E</w:t>
            </w:r>
          </w:p>
          <w:p>
            <w:pPr>
              <w:adjustRightInd w:val="0"/>
              <w:snapToGrid w:val="0"/>
              <w:jc w:val="center"/>
              <w:rPr>
                <w:rFonts w:ascii="仿宋" w:hAnsi="仿宋" w:eastAsia="仿宋"/>
                <w:sz w:val="24"/>
                <w:szCs w:val="24"/>
              </w:rPr>
            </w:pPr>
            <w:r>
              <w:rPr>
                <w:rFonts w:hint="eastAsia" w:ascii="仿宋" w:hAnsi="仿宋" w:eastAsia="仿宋"/>
                <w:sz w:val="24"/>
                <w:szCs w:val="24"/>
              </w:rPr>
              <w:t>或RG-RSR20-X-28</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交换机（1）</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数据中心交换机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RG-S6000C</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电源模块</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RG-PA70I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交换机（2）</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三层可控交换机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RG-S5310-24GTXS-L</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电源模块</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RG-PA70I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129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交换机（3）</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二层可控交换机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RG-S2910-24GT4XS-E</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rPr>
          <w:trHeight w:val="5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1295"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出口网关</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网络安全设备</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RG-EG3210</w:t>
            </w:r>
          </w:p>
          <w:p>
            <w:pPr>
              <w:adjustRightInd w:val="0"/>
              <w:snapToGrid w:val="0"/>
              <w:jc w:val="center"/>
              <w:rPr>
                <w:rFonts w:ascii="仿宋" w:hAnsi="仿宋" w:eastAsia="仿宋"/>
                <w:sz w:val="24"/>
                <w:szCs w:val="24"/>
              </w:rPr>
            </w:pPr>
            <w:r>
              <w:rPr>
                <w:rFonts w:hint="eastAsia" w:ascii="仿宋" w:hAnsi="仿宋" w:eastAsia="仿宋"/>
                <w:sz w:val="24"/>
                <w:szCs w:val="24"/>
              </w:rPr>
              <w:t>或RG-EG2000G</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129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无线控制器</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无线控制器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RG-WS6008</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1295"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无线接入设备</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胖、瘦一体AP</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RG-AP520</w:t>
            </w:r>
          </w:p>
          <w:p>
            <w:pPr>
              <w:adjustRightInd w:val="0"/>
              <w:snapToGrid w:val="0"/>
              <w:jc w:val="center"/>
              <w:rPr>
                <w:rFonts w:ascii="仿宋" w:hAnsi="仿宋" w:eastAsia="仿宋"/>
                <w:sz w:val="24"/>
                <w:szCs w:val="24"/>
              </w:rPr>
            </w:pPr>
            <w:r>
              <w:rPr>
                <w:rFonts w:hint="eastAsia" w:ascii="仿宋" w:hAnsi="仿宋" w:eastAsia="仿宋"/>
                <w:sz w:val="24"/>
                <w:szCs w:val="24"/>
              </w:rPr>
              <w:t>或RG-AP850-I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1295" w:type="dxa"/>
            <w:vMerge w:val="restart"/>
            <w:tcBorders>
              <w:top w:val="nil"/>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配件</w:t>
            </w:r>
          </w:p>
        </w:tc>
        <w:tc>
          <w:tcPr>
            <w:tcW w:w="2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电源适配器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RG-E-120</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vAlign w:val="center"/>
          </w:tcPr>
          <w:p>
            <w:pPr>
              <w:adjustRightInd w:val="0"/>
              <w:snapToGrid w:val="0"/>
              <w:rPr>
                <w:rFonts w:ascii="仿宋" w:hAnsi="仿宋" w:eastAsia="仿宋"/>
                <w:sz w:val="24"/>
                <w:szCs w:val="24"/>
              </w:rPr>
            </w:pP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RG-E-130</w:t>
            </w: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仿宋" w:hAnsi="仿宋" w:eastAsia="仿宋"/>
                <w:sz w:val="24"/>
                <w:szCs w:val="24"/>
                <w:lang w:eastAsia="zh-CN"/>
              </w:rPr>
            </w:pPr>
            <w:r>
              <w:rPr>
                <w:rFonts w:hint="eastAsia" w:ascii="仿宋" w:hAnsi="仿宋" w:eastAsia="仿宋"/>
                <w:sz w:val="24"/>
                <w:szCs w:val="24"/>
              </w:rPr>
              <w:t>串口接口模块</w:t>
            </w:r>
          </w:p>
          <w:p>
            <w:pPr>
              <w:adjustRightInd w:val="0"/>
              <w:snapToGrid w:val="0"/>
              <w:rPr>
                <w:rFonts w:ascii="仿宋" w:hAnsi="仿宋" w:eastAsia="仿宋"/>
                <w:sz w:val="24"/>
                <w:szCs w:val="24"/>
              </w:rPr>
            </w:pPr>
            <w:r>
              <w:rPr>
                <w:rFonts w:hint="eastAsia" w:ascii="仿宋" w:hAnsi="仿宋" w:eastAsia="仿宋"/>
                <w:sz w:val="24"/>
                <w:szCs w:val="24"/>
              </w:rPr>
              <w:t>（SIC-1HS/SIC-2HS）</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RG-SIC-1HS</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vAlign w:val="center"/>
          </w:tcPr>
          <w:p>
            <w:pPr>
              <w:adjustRightInd w:val="0"/>
              <w:snapToGrid w:val="0"/>
              <w:rPr>
                <w:rFonts w:ascii="仿宋" w:hAnsi="仿宋" w:eastAsia="仿宋"/>
                <w:sz w:val="24"/>
                <w:szCs w:val="24"/>
              </w:rPr>
            </w:pP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RG-HSIC-2HS</w:t>
            </w: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70"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串口线缆（CAB-V.35DTE/V.35DCE）</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CAB-V.35DTE</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条</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万兆模块（XG-SFP）</w:t>
            </w:r>
          </w:p>
        </w:tc>
        <w:tc>
          <w:tcPr>
            <w:tcW w:w="23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XG-SFP-CU1M</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配置线缆</w:t>
            </w:r>
          </w:p>
        </w:tc>
        <w:tc>
          <w:tcPr>
            <w:tcW w:w="2337"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配置线缆</w:t>
            </w:r>
          </w:p>
        </w:tc>
        <w:tc>
          <w:tcPr>
            <w:tcW w:w="7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条</w:t>
            </w:r>
          </w:p>
        </w:tc>
        <w:tc>
          <w:tcPr>
            <w:tcW w:w="8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mc:AlternateContent>
          <mc:Choice Requires="wps">
            <w:drawing>
              <wp:anchor distT="0" distB="0" distL="114300" distR="114300" simplePos="0" relativeHeight="251661312" behindDoc="1" locked="0" layoutInCell="0" allowOverlap="1">
                <wp:simplePos x="0" y="0"/>
                <wp:positionH relativeFrom="column">
                  <wp:posOffset>3615690</wp:posOffset>
                </wp:positionH>
                <wp:positionV relativeFrom="paragraph">
                  <wp:posOffset>-4844415</wp:posOffset>
                </wp:positionV>
                <wp:extent cx="1310640" cy="0"/>
                <wp:effectExtent l="5715" t="13335" r="7620" b="571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19">
                          <a:solidFill>
                            <a:srgbClr val="FFFFFF"/>
                          </a:solidFill>
                          <a:prstDash val="solid"/>
                          <a:round/>
                        </a:ln>
                      </wps:spPr>
                      <wps:bodyPr/>
                    </wps:wsp>
                  </a:graphicData>
                </a:graphic>
              </wp:anchor>
            </w:drawing>
          </mc:Choice>
          <mc:Fallback>
            <w:pict>
              <v:line id="_x0000_s1026" o:spid="_x0000_s1026" o:spt="20" style="position:absolute;left:0pt;margin-left:284.7pt;margin-top:-381.45pt;height:0pt;width:103.2pt;z-index:-251655168;mso-width-relative:page;mso-height-relative:page;" filled="f" stroked="t" coordsize="21600,21600" o:allowincell="f" o:gfxdata="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RhynZAAAADQEAAA8AAAAAAAAAAQAgAAAAIgAAAGRycy9kb3ducmV2LnhtbFBLAQIUABQA&#10;AAAIAIdO4kC0mMfP7wEAAMUDAAAOAAAAAAAAAAEAIAAAACgBAABkcnMvZTJvRG9jLnhtbFBLBQYA&#10;AAAABgAGAFkBAACJBQAAAAA=&#10;">
                <v:fill on="f" focussize="0,0"/>
                <v:stroke weight="0.59992125984252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2336" behindDoc="1" locked="0" layoutInCell="0" allowOverlap="1">
                <wp:simplePos x="0" y="0"/>
                <wp:positionH relativeFrom="column">
                  <wp:posOffset>3615690</wp:posOffset>
                </wp:positionH>
                <wp:positionV relativeFrom="paragraph">
                  <wp:posOffset>-4632325</wp:posOffset>
                </wp:positionV>
                <wp:extent cx="1310640" cy="0"/>
                <wp:effectExtent l="5715" t="6350" r="7620" b="1270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19">
                          <a:solidFill>
                            <a:srgbClr val="FFFFFF"/>
                          </a:solidFill>
                          <a:prstDash val="solid"/>
                          <a:round/>
                        </a:ln>
                      </wps:spPr>
                      <wps:bodyPr/>
                    </wps:wsp>
                  </a:graphicData>
                </a:graphic>
              </wp:anchor>
            </w:drawing>
          </mc:Choice>
          <mc:Fallback>
            <w:pict>
              <v:line id="_x0000_s1026" o:spid="_x0000_s1026" o:spt="20" style="position:absolute;left:0pt;margin-left:284.7pt;margin-top:-364.75pt;height:0pt;width:103.2pt;z-index:-251654144;mso-width-relative:page;mso-height-relative:page;" filled="f" stroked="t" coordsize="21600,21600" o:allowincell="f" o:gfxdata="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JR1R/ZAAAADQEAAA8AAAAAAAAAAQAgAAAAIgAAAGRycy9kb3ducmV2LnhtbFBLAQIUABQAAAAI&#10;AIdO4kATo0pK7AEAAMUDAAAOAAAAAAAAAAEAIAAAACgBAABkcnMvZTJvRG9jLnhtbFBLBQYAAAAA&#10;BgAGAFkBAACGBQAAAAA=&#10;">
                <v:fill on="f" focussize="0,0"/>
                <v:stroke weight="0.59992125984252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3360" behindDoc="1" locked="0" layoutInCell="0" allowOverlap="1">
                <wp:simplePos x="0" y="0"/>
                <wp:positionH relativeFrom="column">
                  <wp:posOffset>3615690</wp:posOffset>
                </wp:positionH>
                <wp:positionV relativeFrom="paragraph">
                  <wp:posOffset>-1783715</wp:posOffset>
                </wp:positionV>
                <wp:extent cx="1310640" cy="0"/>
                <wp:effectExtent l="5715" t="6985" r="7620" b="1206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20">
                          <a:solidFill>
                            <a:srgbClr val="FFFFFF"/>
                          </a:solidFill>
                          <a:prstDash val="solid"/>
                          <a:round/>
                        </a:ln>
                      </wps:spPr>
                      <wps:bodyPr/>
                    </wps:wsp>
                  </a:graphicData>
                </a:graphic>
              </wp:anchor>
            </w:drawing>
          </mc:Choice>
          <mc:Fallback>
            <w:pict>
              <v:line id="_x0000_s1026" o:spid="_x0000_s1026" o:spt="20" style="position:absolute;left:0pt;margin-left:284.7pt;margin-top:-140.45pt;height:0pt;width:103.2pt;z-index:-251653120;mso-width-relative:page;mso-height-relative:page;" filled="f" stroked="t" coordsize="21600,21600" o:allowincell="f" o:gfxdata="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gf5L2gAAAA0BAAAPAAAAAAAAAAEAIAAAACIAAABkcnMvZG93bnJldi54bWxQSwECFAAU&#10;AAAACACHTuJAoqj8G+8BAADFAwAADgAAAAAAAAABACAAAAApAQAAZHJzL2Uyb0RvYy54bWxQSwUG&#10;AAAAAAYABgBZAQAAigUAAAAA&#10;">
                <v:fill on="f" focussize="0,0"/>
                <v:stroke weight="0.6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4384" behindDoc="1" locked="0" layoutInCell="0" allowOverlap="1">
                <wp:simplePos x="0" y="0"/>
                <wp:positionH relativeFrom="column">
                  <wp:posOffset>3615690</wp:posOffset>
                </wp:positionH>
                <wp:positionV relativeFrom="paragraph">
                  <wp:posOffset>-1489710</wp:posOffset>
                </wp:positionV>
                <wp:extent cx="1310640" cy="0"/>
                <wp:effectExtent l="5715" t="5715" r="7620" b="1333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19">
                          <a:solidFill>
                            <a:srgbClr val="FFFFFF"/>
                          </a:solidFill>
                          <a:prstDash val="solid"/>
                          <a:round/>
                        </a:ln>
                      </wps:spPr>
                      <wps:bodyPr/>
                    </wps:wsp>
                  </a:graphicData>
                </a:graphic>
              </wp:anchor>
            </w:drawing>
          </mc:Choice>
          <mc:Fallback>
            <w:pict>
              <v:line id="_x0000_s1026" o:spid="_x0000_s1026" o:spt="20" style="position:absolute;left:0pt;margin-left:284.7pt;margin-top:-117.3pt;height:0pt;width:103.2pt;z-index:-251652096;mso-width-relative:page;mso-height-relative:page;" filled="f" stroked="t" coordsize="21600,21600" o:allowincell="f" o:gfxdata="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dgXTYAAAADQEAAA8AAAAAAAAAAQAgAAAAIgAAAGRycy9kb3ducmV2LnhtbFBLAQIUABQA&#10;AAAIAIdO4kCno/+g8AEAAMUDAAAOAAAAAAAAAAEAIAAAACcBAABkcnMvZTJvRG9jLnhtbFBLBQYA&#10;AAAABgAGAFkBAACJBQAAAAA=&#10;">
                <v:fill on="f" focussize="0,0"/>
                <v:stroke weight="0.59992125984252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5408" behindDoc="1" locked="0" layoutInCell="0" allowOverlap="1">
                <wp:simplePos x="0" y="0"/>
                <wp:positionH relativeFrom="column">
                  <wp:posOffset>3615690</wp:posOffset>
                </wp:positionH>
                <wp:positionV relativeFrom="paragraph">
                  <wp:posOffset>-1196975</wp:posOffset>
                </wp:positionV>
                <wp:extent cx="1310640" cy="0"/>
                <wp:effectExtent l="5715" t="12700" r="7620" b="635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20">
                          <a:solidFill>
                            <a:srgbClr val="FFFFFF"/>
                          </a:solidFill>
                          <a:prstDash val="solid"/>
                          <a:round/>
                        </a:ln>
                      </wps:spPr>
                      <wps:bodyPr/>
                    </wps:wsp>
                  </a:graphicData>
                </a:graphic>
              </wp:anchor>
            </w:drawing>
          </mc:Choice>
          <mc:Fallback>
            <w:pict>
              <v:line id="_x0000_s1026" o:spid="_x0000_s1026" o:spt="20" style="position:absolute;left:0pt;margin-left:284.7pt;margin-top:-94.25pt;height:0pt;width:103.2pt;z-index:-251651072;mso-width-relative:page;mso-height-relative:page;" filled="f" stroked="t" coordsize="21600,21600" o:allowincell="f" o:gfxdata="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N1xnZAAAADQEAAA8AAAAAAAAAAQAgAAAAIgAAAGRycy9kb3ducmV2LnhtbFBLAQIUABQA&#10;AAAIAIdO4kAWqEnx7wEAAMUDAAAOAAAAAAAAAAEAIAAAACgBAABkcnMvZTJvRG9jLnhtbFBLBQYA&#10;AAAABgAGAFkBAACJBQAAAAA=&#10;">
                <v:fill on="f" focussize="0,0"/>
                <v:stroke weight="0.6pt" color="#FFFFFF" joinstyle="round"/>
                <v:imagedata o:title=""/>
                <o:lock v:ext="edit" aspectratio="f"/>
              </v:line>
            </w:pict>
          </mc:Fallback>
        </mc:AlternateContent>
      </w:r>
      <w:r>
        <w:rPr>
          <w:rFonts w:hint="eastAsia" w:ascii="仿宋" w:hAnsi="Calibri" w:eastAsia="仿宋" w:cs="Arial"/>
          <w:b/>
          <w:bCs/>
          <w:sz w:val="28"/>
        </w:rPr>
        <w:t>（二）材料及软件</w:t>
      </w:r>
    </w:p>
    <w:tbl>
      <w:tblPr>
        <w:tblStyle w:val="8"/>
        <w:tblW w:w="8580" w:type="dxa"/>
        <w:tblInd w:w="113" w:type="dxa"/>
        <w:tblLayout w:type="autofit"/>
        <w:tblCellMar>
          <w:top w:w="0" w:type="dxa"/>
          <w:left w:w="108" w:type="dxa"/>
          <w:bottom w:w="0" w:type="dxa"/>
          <w:right w:w="108" w:type="dxa"/>
        </w:tblCellMar>
      </w:tblPr>
      <w:tblGrid>
        <w:gridCol w:w="1080"/>
        <w:gridCol w:w="2420"/>
        <w:gridCol w:w="2920"/>
        <w:gridCol w:w="1080"/>
        <w:gridCol w:w="10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24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软件名称</w:t>
            </w:r>
          </w:p>
        </w:tc>
        <w:tc>
          <w:tcPr>
            <w:tcW w:w="29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版本</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数量</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VMware workstation</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15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Debian Linux</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10 以上(BLBD 版)</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Windows Server 2019</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Datacenter 版</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Windows 10</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EnterPrise</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VPNClient</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OPENVPN 2.4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Zabbix-Agent</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Zabbix-Agent 3.4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Office</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2013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Putty</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0.7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9</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Folder2iso</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3.1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Tftpd</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4.6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11</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无线地勘系统</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无线地勘系统</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12</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解压缩软件</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RAR4.0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13</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PDF 阅读器</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Adobe Reader X1 11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14</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网络调试工具</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SercureCRT8.1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15</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截图工具</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FScapture6.5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16</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FTP 客户端</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FlashFXP5.4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bl>
    <w:p>
      <w:pPr>
        <w:adjustRightInd w:val="0"/>
        <w:snapToGrid w:val="0"/>
        <w:spacing w:line="360" w:lineRule="auto"/>
        <w:ind w:firstLine="562" w:firstLineChars="200"/>
        <w:rPr>
          <w:rFonts w:hint="eastAsia" w:ascii="仿宋" w:hAnsi="Calibri" w:eastAsia="仿宋" w:cs="Arial"/>
          <w:b/>
          <w:bCs/>
          <w:sz w:val="28"/>
        </w:rPr>
      </w:pPr>
      <w:bookmarkStart w:id="8" w:name="page26"/>
      <w:bookmarkEnd w:id="8"/>
      <w:r>
        <w:rPr>
          <w:rFonts w:hint="eastAsia" w:ascii="仿宋" w:hAnsi="Calibri" w:eastAsia="仿宋" w:cs="Arial"/>
          <w:b/>
          <w:bCs/>
          <w:sz w:val="28"/>
          <w:lang w:val="en-US" w:eastAsia="zh-CN"/>
        </w:rPr>
        <w:t>九</w:t>
      </w:r>
      <w:r>
        <w:rPr>
          <w:rFonts w:hint="eastAsia" w:ascii="仿宋" w:hAnsi="Calibri" w:eastAsia="仿宋" w:cs="Arial"/>
          <w:b/>
          <w:bCs/>
          <w:sz w:val="28"/>
          <w:lang w:eastAsia="zh-CN"/>
        </w:rPr>
        <w:t>、</w:t>
      </w:r>
      <w:r>
        <w:rPr>
          <w:rFonts w:hint="eastAsia" w:ascii="仿宋" w:hAnsi="Calibri" w:eastAsia="仿宋" w:cs="Arial"/>
          <w:b/>
          <w:bCs/>
          <w:sz w:val="28"/>
          <w:lang w:val="en-US" w:eastAsia="zh-CN"/>
        </w:rPr>
        <w:t>评分办法</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w:t>（一）评分原则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 客观性结果评分原则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采用与行业真实项目相对接，不仅检查命令和过程配置，还需要检测功能点是否实现。客观性结果评分依据目标功能实现的 Show 状态信息、Web 截图状态以及功能性的状态测试进行，示例分别如图 2、图 3、图 4 所示。通过对结果进行客观性评分，深入考察学生对重要功能的理解是否深入，规避死记硬背，以此更能突显赛项过程与真实工作接轨的目的。</w:t>
      </w:r>
      <w:bookmarkStart w:id="9" w:name="page27"/>
      <w:bookmarkEnd w:id="9"/>
    </w:p>
    <w:p>
      <w:pPr>
        <w:adjustRightInd w:val="0"/>
        <w:snapToGrid w:val="0"/>
        <w:rPr>
          <w:rFonts w:ascii="仿宋" w:hAnsi="仿宋" w:eastAsia="仿宋"/>
          <w:sz w:val="27"/>
        </w:rPr>
      </w:pPr>
      <w:r>
        <w:rPr>
          <w:rFonts w:hint="eastAsia" w:ascii="仿宋" w:hAnsi="仿宋" w:eastAsia="仿宋"/>
          <w:sz w:val="27"/>
        </w:rPr>
        <w:drawing>
          <wp:inline distT="0" distB="0" distL="0" distR="0">
            <wp:extent cx="5274310" cy="185610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1856105"/>
                    </a:xfrm>
                    <a:prstGeom prst="rect">
                      <a:avLst/>
                    </a:prstGeom>
                    <a:noFill/>
                    <a:ln>
                      <a:noFill/>
                    </a:ln>
                  </pic:spPr>
                </pic:pic>
              </a:graphicData>
            </a:graphic>
          </wp:inline>
        </w:drawing>
      </w:r>
    </w:p>
    <w:p>
      <w:pPr>
        <w:adjustRightInd w:val="0"/>
        <w:snapToGrid w:val="0"/>
        <w:jc w:val="center"/>
        <w:rPr>
          <w:rFonts w:ascii="仿宋" w:hAnsi="仿宋" w:eastAsia="仿宋"/>
          <w:sz w:val="27"/>
        </w:rPr>
      </w:pPr>
      <w:r>
        <w:rPr>
          <w:rFonts w:ascii="仿宋" w:hAnsi="仿宋" w:eastAsia="仿宋"/>
          <w:sz w:val="27"/>
        </w:rPr>
        <w:t>图 2：依据设备功能实现的 Show 状态信息</w:t>
      </w:r>
    </w:p>
    <w:p>
      <w:pPr>
        <w:adjustRightInd w:val="0"/>
        <w:snapToGrid w:val="0"/>
        <w:jc w:val="center"/>
        <w:rPr>
          <w:rFonts w:ascii="仿宋" w:hAnsi="仿宋" w:eastAsia="仿宋"/>
          <w:sz w:val="27"/>
        </w:rPr>
      </w:pPr>
      <w:r>
        <w:rPr>
          <w:rFonts w:hint="eastAsia" w:ascii="仿宋" w:hAnsi="仿宋" w:eastAsia="仿宋"/>
          <w:sz w:val="27"/>
        </w:rPr>
        <w:drawing>
          <wp:inline distT="0" distB="0" distL="0" distR="0">
            <wp:extent cx="5075555" cy="2417445"/>
            <wp:effectExtent l="0" t="0" r="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75555" cy="2417445"/>
                    </a:xfrm>
                    <a:prstGeom prst="rect">
                      <a:avLst/>
                    </a:prstGeom>
                    <a:noFill/>
                    <a:ln>
                      <a:noFill/>
                    </a:ln>
                  </pic:spPr>
                </pic:pic>
              </a:graphicData>
            </a:graphic>
          </wp:inline>
        </w:drawing>
      </w:r>
    </w:p>
    <w:p>
      <w:pPr>
        <w:adjustRightInd w:val="0"/>
        <w:snapToGrid w:val="0"/>
        <w:jc w:val="center"/>
        <w:rPr>
          <w:rFonts w:ascii="仿宋" w:hAnsi="仿宋" w:eastAsia="仿宋"/>
          <w:sz w:val="27"/>
        </w:rPr>
      </w:pPr>
      <w:r>
        <w:rPr>
          <w:rFonts w:ascii="仿宋" w:hAnsi="仿宋" w:eastAsia="仿宋"/>
          <w:sz w:val="27"/>
        </w:rPr>
        <w:t>图 3：依据设备功能实现的 Web 截图状态</w:t>
      </w:r>
    </w:p>
    <w:p>
      <w:pPr>
        <w:adjustRightInd w:val="0"/>
        <w:snapToGrid w:val="0"/>
        <w:jc w:val="center"/>
        <w:rPr>
          <w:rFonts w:ascii="仿宋" w:hAnsi="仿宋" w:eastAsia="仿宋"/>
          <w:sz w:val="27"/>
        </w:rPr>
      </w:pPr>
      <w:r>
        <w:rPr>
          <w:rFonts w:ascii="仿宋" w:hAnsi="仿宋" w:eastAsia="仿宋"/>
          <w:sz w:val="27"/>
        </w:rPr>
        <w:drawing>
          <wp:inline distT="0" distB="0" distL="0" distR="0">
            <wp:extent cx="4316730" cy="2374900"/>
            <wp:effectExtent l="0" t="0" r="762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16730" cy="2374900"/>
                    </a:xfrm>
                    <a:prstGeom prst="rect">
                      <a:avLst/>
                    </a:prstGeom>
                    <a:noFill/>
                    <a:ln>
                      <a:noFill/>
                    </a:ln>
                  </pic:spPr>
                </pic:pic>
              </a:graphicData>
            </a:graphic>
          </wp:inline>
        </w:drawing>
      </w:r>
    </w:p>
    <w:p>
      <w:pPr>
        <w:adjustRightInd w:val="0"/>
        <w:snapToGrid w:val="0"/>
        <w:jc w:val="center"/>
        <w:rPr>
          <w:rFonts w:ascii="仿宋" w:hAnsi="仿宋" w:eastAsia="仿宋"/>
          <w:sz w:val="27"/>
        </w:rPr>
      </w:pPr>
      <w:r>
        <w:rPr>
          <w:rFonts w:ascii="仿宋" w:hAnsi="仿宋" w:eastAsia="仿宋"/>
          <w:sz w:val="27"/>
        </w:rPr>
        <w:t>图 4：网络连通功能性状态测试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 答题卡样例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答题卡样例按照选手对应题目功能配置的实现过程的截图进行评分，具体评分样表如下。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ServerA 的配置要求（26 分）</w:t>
      </w:r>
    </w:p>
    <w:tbl>
      <w:tblPr>
        <w:tblStyle w:val="8"/>
        <w:tblW w:w="8642" w:type="dxa"/>
        <w:tblInd w:w="113" w:type="dxa"/>
        <w:tblLayout w:type="autofit"/>
        <w:tblCellMar>
          <w:top w:w="0" w:type="dxa"/>
          <w:left w:w="108" w:type="dxa"/>
          <w:bottom w:w="0" w:type="dxa"/>
          <w:right w:w="108" w:type="dxa"/>
        </w:tblCellMar>
      </w:tblPr>
      <w:tblGrid>
        <w:gridCol w:w="704"/>
        <w:gridCol w:w="7088"/>
        <w:gridCol w:w="850"/>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b/>
                <w:bCs/>
                <w:sz w:val="24"/>
                <w:szCs w:val="24"/>
              </w:rPr>
            </w:pPr>
            <w:r>
              <w:rPr>
                <w:rFonts w:hint="eastAsia" w:ascii="仿宋" w:hAnsi="仿宋" w:eastAsia="仿宋"/>
                <w:b/>
                <w:bCs/>
                <w:sz w:val="24"/>
                <w:szCs w:val="24"/>
              </w:rPr>
              <w:t>评分内容及要求</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分值</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mount | grep mnt 命令查看 iso 文件挂载状况，截图。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cat /etc/yum.repos.d/local.repo 查看本地 yum 源配置，截图。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vgdisplay datastore 和 lvdisplay /dev/mapper/datastore-database查看lvm信息，截图。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blkid /dev/mapper/datastore-database 命令获取 UUID 值，截图；使用 cat命令查看/etc/fstab 文件内容，截图。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Cs w:val="13"/>
              </w:rPr>
            </w:pPr>
            <w:r>
              <w:rPr>
                <w:rFonts w:hint="eastAsia" w:ascii="仿宋" w:hAnsi="仿宋" w:eastAsia="仿宋"/>
                <w:szCs w:val="13"/>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Cs w:val="13"/>
              </w:rPr>
            </w:pPr>
            <w:r>
              <w:rPr>
                <w:rFonts w:hint="eastAsia" w:ascii="仿宋" w:hAnsi="仿宋" w:eastAsia="仿宋"/>
                <w:szCs w:val="13"/>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Cs w:val="13"/>
              </w:rPr>
            </w:pPr>
            <w:r>
              <w:rPr>
                <w:rFonts w:hint="eastAsia" w:ascii="仿宋" w:hAnsi="仿宋" w:eastAsia="仿宋"/>
                <w:szCs w:val="13"/>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openssl x509 -in http.crt -noout -text 命令查看 WEB 证书的发布者和主题，截图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等线" w:hAnsi="等线" w:eastAsia="等线" w:cs="宋体"/>
                <w:color w:val="000000"/>
                <w:szCs w:val="13"/>
              </w:rPr>
            </w:pPr>
            <w:r>
              <w:rPr>
                <w:rFonts w:hint="eastAsia" w:ascii="等线" w:hAnsi="等线" w:eastAsia="等线" w:cs="宋体"/>
                <w:color w:val="000000"/>
                <w:szCs w:val="13"/>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等线" w:hAnsi="等线" w:eastAsia="等线" w:cs="宋体"/>
                <w:color w:val="000000"/>
                <w:szCs w:val="13"/>
              </w:rPr>
            </w:pPr>
            <w:r>
              <w:rPr>
                <w:rFonts w:hint="eastAsia" w:ascii="等线" w:hAnsi="等线" w:eastAsia="等线" w:cs="宋体"/>
                <w:color w:val="000000"/>
                <w:szCs w:val="13"/>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等线" w:hAnsi="等线" w:eastAsia="等线" w:cs="宋体"/>
                <w:color w:val="000000"/>
                <w:szCs w:val="13"/>
              </w:rPr>
            </w:pPr>
            <w:r>
              <w:rPr>
                <w:rFonts w:hint="eastAsia" w:ascii="等线" w:hAnsi="等线" w:eastAsia="等线" w:cs="宋体"/>
                <w:color w:val="000000"/>
                <w:szCs w:val="13"/>
              </w:rPr>
              <w:t>　</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bookmarkStart w:id="10" w:name="page28"/>
      <w:bookmarkEnd w:id="10"/>
      <w:r>
        <w:rPr>
          <w:rFonts w:hint="eastAsia" w:ascii="仿宋" w:hAnsi="Calibri" w:eastAsia="仿宋" w:cs="Arial"/>
          <w:sz w:val="28"/>
        </w:rPr>
        <w:t>3.三次加密原则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比赛过程采取三次加密，通过抽取参赛编号、工位号和竞赛成果号，屏蔽参赛队信息，每个环节设置一名独立裁判，每个环节结束后，数据立即封存于裁判长处，加密裁判直接隔离，确保成绩评定公平、公正。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4. 独立评分原则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根据裁判分工，负责相同模块评分工作的不同裁判，采取随机抽签独立评分，确保成绩评定严谨、客观、准确。裁判进行随机抽签分组，杜绝主观意愿组队，各自完全独立评分，裁判员间互不干涉，比赛督察员可随机监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5.错误不传递原则各环节分别计算得分，错误不传递，按规定比例计入选手总分。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6.抽查复核原则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（1）为保障成绩评判的准确性，督察组对赛项总成绩排名前30%</w:t>
      </w:r>
      <w:bookmarkStart w:id="11" w:name="page29"/>
      <w:bookmarkEnd w:id="11"/>
      <w:r>
        <w:rPr>
          <w:rFonts w:hint="eastAsia" w:ascii="仿宋" w:hAnsi="Calibri" w:eastAsia="仿宋" w:cs="Arial"/>
          <w:sz w:val="28"/>
        </w:rPr>
        <w:t>的所有参赛队伍（选手）的成绩进行复核；对其余成绩进行抽检复核，抽检覆盖率不得低于15%。</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（2）督察组需将复检中发现的错误以书面方式及时告知裁判长，由裁判长更正成绩并签字确认。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（3）复核、抽检错误率超过5%的，则认定为非小概率事件，裁判组需对所有成绩进行复核。</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w:t>（二）评分方法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1.竞赛满分为1000分。最终成绩换算为100分制进行排名。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2.评分成绩=模块A+模块B+赛场规范和文档规范。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3.竞赛设置裁判长1名，裁判若干名。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4.竞赛采取三次加密。第一次加密裁判组织参赛选手第一次抽签，抽取参赛编号，替代选手参赛证等个人信息；第二次加密裁判组织参赛选手进行第二次抽签，确定赛位号，替换选手参赛编号；第三次加密裁判对各参赛队竞赛结果进行加密，替换赛位号。三次加密信息由不同加密裁判密封后保管，在评分结束后进行解密并统计成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5.竞赛对参赛选手提交的结果采取客观性结果评分。采取分步得分、累计总分的计分方式。各环节分别计算得分，错误不传递，按规定得分计入总分。根据赛题情况划分模块，每三名裁判负责一个模</w:t>
      </w:r>
      <w:bookmarkStart w:id="12" w:name="page30"/>
      <w:bookmarkEnd w:id="12"/>
      <w:r>
        <w:rPr>
          <w:rFonts w:hint="eastAsia" w:ascii="仿宋" w:hAnsi="Calibri" w:eastAsia="仿宋" w:cs="Arial"/>
          <w:sz w:val="28"/>
        </w:rPr>
        <w:t>块进行独立评分。裁判长在竞赛结束 8 小时内提交评分结果，经复核无误，由裁判长、督察员签字确认。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6.裁判长正式提交评分结果并复核无误后，加密裁判在督察员监督下进行三层解密：竞赛结果编号到工位号解密；工位号到参赛编号解密；参赛编号到参赛选手名解密。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7.为保障成绩评判的准确性，督察员对赛项总成绩排名前30%的所有参赛队伍的成绩进行复核；其余成绩进行抽检复核，抽检覆盖率不低于15%。</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8.督察员在复检中发现错误，需以书面形式及时告知裁判长，由裁判长更正成绩并签字确认。如复核、抽检错误率超过5%，裁判组需对所有成绩进行复核。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9.在竞赛过程中，参赛选手如有不服从裁判裁决、扰乱赛场秩序、舞弊等行为的，由裁判长按照规定扣减相应分数，情节严重的将取消比赛资格，比赛成绩计0分。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如出现参赛队总分相同情况，按照 A、B 模块顺序的得分高低排序，即总成绩相同的情况下比较B 模块的成绩，B模块成绩高的排名优先。如果 A、B各模块分值相同，则查看文档撰写规范、职业素养的分值进行排序。</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十</w:t>
      </w:r>
      <w:r>
        <w:rPr>
          <w:rFonts w:hint="eastAsia" w:ascii="仿宋" w:hAnsi="Calibri" w:eastAsia="仿宋" w:cs="Arial"/>
          <w:b/>
          <w:bCs/>
          <w:sz w:val="28"/>
          <w:lang w:eastAsia="zh-CN"/>
        </w:rPr>
        <w:t>、</w:t>
      </w:r>
      <w:r>
        <w:rPr>
          <w:rFonts w:hint="eastAsia" w:ascii="仿宋" w:hAnsi="Calibri" w:eastAsia="仿宋" w:cs="Arial"/>
          <w:b/>
          <w:bCs/>
          <w:sz w:val="28"/>
        </w:rPr>
        <w:t>奖项设定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根据参赛队竞赛成绩排名分别设立一、二、三等奖。以各赛项实际参赛队数量为基数，</w:t>
      </w:r>
      <w:r>
        <w:rPr>
          <w:rFonts w:hint="eastAsia" w:ascii="仿宋" w:hAnsi="Calibri" w:eastAsia="仿宋" w:cs="Arial"/>
          <w:sz w:val="28"/>
          <w:highlight w:val="none"/>
        </w:rPr>
        <w:t>10%设一等奖，20%设二等奖，30%设三等奖。</w:t>
      </w:r>
    </w:p>
    <w:p>
      <w:pPr>
        <w:adjustRightInd w:val="0"/>
        <w:snapToGrid w:val="0"/>
        <w:spacing w:line="360" w:lineRule="auto"/>
        <w:ind w:firstLine="562" w:firstLineChars="200"/>
        <w:rPr>
          <w:rFonts w:hint="eastAsia" w:ascii="仿宋" w:hAnsi="Calibri" w:eastAsia="仿宋" w:cs="Arial"/>
          <w:b/>
          <w:bCs/>
          <w:sz w:val="28"/>
        </w:rPr>
      </w:pPr>
      <w:bookmarkStart w:id="13" w:name="page39"/>
      <w:bookmarkEnd w:id="13"/>
      <w:r>
        <w:rPr>
          <w:rFonts w:hint="eastAsia" w:ascii="仿宋" w:hAnsi="Calibri" w:eastAsia="仿宋" w:cs="Arial"/>
          <w:b/>
          <w:bCs/>
          <w:sz w:val="28"/>
        </w:rPr>
        <w:t>十</w:t>
      </w:r>
      <w:r>
        <w:rPr>
          <w:rFonts w:hint="eastAsia" w:ascii="仿宋" w:hAnsi="Calibri" w:eastAsia="仿宋" w:cs="Arial"/>
          <w:b/>
          <w:bCs/>
          <w:sz w:val="28"/>
          <w:lang w:val="en-US" w:eastAsia="zh-CN"/>
        </w:rPr>
        <w:t>一</w:t>
      </w:r>
      <w:r>
        <w:rPr>
          <w:rFonts w:hint="eastAsia" w:ascii="仿宋" w:hAnsi="Calibri" w:eastAsia="仿宋" w:cs="Arial"/>
          <w:b/>
          <w:bCs/>
          <w:sz w:val="28"/>
          <w:lang w:eastAsia="zh-CN"/>
        </w:rPr>
        <w:t>、</w:t>
      </w:r>
      <w:r>
        <w:rPr>
          <w:rFonts w:hint="eastAsia" w:ascii="仿宋" w:hAnsi="Calibri" w:eastAsia="仿宋" w:cs="Arial"/>
          <w:b/>
          <w:bCs/>
          <w:sz w:val="28"/>
        </w:rPr>
        <w:t>申诉与仲裁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各参赛队对不符合赛项规程规定的仪器、设备、工装、材料、物件、计算机软硬件、竞赛使用工具、用品，竞赛执裁、赛场管理、竞赛成绩，以及工作人员的不规范行为等，可向赛项仲裁组提出申诉，申诉主体为参赛队领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2.申诉启动时，参赛队向赛项仲裁组递交领队亲笔签字同意的书面报告。书面报告应对申诉事件的现象、发生时间、涉及人员、申诉依据等进行充分、实事求是的叙述。非书面申诉不予受理。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3.提出申诉的时间应在比赛结束后(选手赛场比赛内容全部完成)2 小时内。超过时效不予受理。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4.赛项仲裁组在接到申诉报告后的 2 小时内组织复议，并及时将复议结果以书面形式告知申诉方。申诉方对复议结果仍有异议，可由领队向比赛监督员提出申诉，由监督员传达最终仲裁结果。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5.申诉方不得以任何理由拒绝接收仲裁结果，不得以任何理由采取过激行为扰乱赛场秩序。仲裁结果由申诉人签收，不能代收，如在约定时间和地点申诉人离开，视为自行放弃申诉。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6.申诉方可随时提出放弃申诉。</w:t>
      </w:r>
    </w:p>
    <w:p>
      <w:pPr>
        <w:adjustRightInd w:val="0"/>
        <w:snapToGrid w:val="0"/>
        <w:spacing w:line="360" w:lineRule="auto"/>
        <w:ind w:firstLine="562" w:firstLineChars="200"/>
        <w:rPr>
          <w:rFonts w:hint="eastAsia" w:ascii="仿宋" w:hAnsi="Calibri" w:eastAsia="仿宋" w:cs="Arial"/>
          <w:b/>
          <w:bCs/>
          <w:sz w:val="28"/>
          <w:lang w:val="en-US" w:eastAsia="zh-CN"/>
        </w:rPr>
      </w:pPr>
      <w:r>
        <w:rPr>
          <w:rFonts w:hint="eastAsia" w:ascii="仿宋" w:hAnsi="Calibri" w:eastAsia="仿宋" w:cs="Arial"/>
          <w:b/>
          <w:bCs/>
          <w:sz w:val="28"/>
          <w:lang w:val="en-US" w:eastAsia="zh-CN"/>
        </w:rPr>
        <w:t>十二、赛项安全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赛项安全一切工作顺利开展的先决条件，是本赛项筹备和运行工作必须考虑的核心问题。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（一）组织机构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1.成立赛项安全保障小组，由承办院校主抓安全的校领导、学生工作处、后勤处、保卫处、合作企业技术工程师等相关人员组成。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2.与地方行政、交通、司法、安全、消防、卫生、食品、质检等相关部门建立协调机制，制定应急预案，及时处置突发事件，保证比赛安全进行。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（二）组队责任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1.各学校组织代表队时，须安排为参赛选手购买大赛期间的人身意外伤害保险。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（三）疫情防控要求</w:t>
      </w:r>
    </w:p>
    <w:p>
      <w:pPr>
        <w:adjustRightInd w:val="0"/>
        <w:snapToGrid w:val="0"/>
        <w:spacing w:line="360" w:lineRule="auto"/>
        <w:ind w:firstLine="560" w:firstLineChars="200"/>
        <w:rPr>
          <w:rFonts w:hint="default" w:ascii="仿宋" w:hAnsi="Calibri" w:eastAsia="仿宋" w:cs="Arial"/>
          <w:sz w:val="28"/>
          <w:lang w:val="en-US" w:eastAsia="zh-CN"/>
        </w:rPr>
      </w:pPr>
      <w:r>
        <w:rPr>
          <w:rFonts w:hint="eastAsia" w:ascii="仿宋" w:hAnsi="Calibri" w:eastAsia="仿宋" w:cs="Arial"/>
          <w:sz w:val="28"/>
          <w:lang w:val="en-US" w:eastAsia="zh-CN"/>
        </w:rPr>
        <w:t>各参赛队伍须</w:t>
      </w:r>
      <w:r>
        <w:rPr>
          <w:rFonts w:hint="eastAsia" w:ascii="仿宋" w:hAnsi="Calibri" w:eastAsia="仿宋" w:cs="Arial"/>
          <w:sz w:val="28"/>
        </w:rPr>
        <w:t>全面落实“外防输入、内防反弹”的总体</w:t>
      </w:r>
      <w:r>
        <w:rPr>
          <w:rFonts w:hint="eastAsia" w:ascii="仿宋" w:hAnsi="Calibri" w:eastAsia="仿宋" w:cs="Arial"/>
          <w:sz w:val="28"/>
          <w:lang w:val="en-US" w:eastAsia="zh-CN"/>
        </w:rPr>
        <w:t>疫情</w:t>
      </w:r>
      <w:r>
        <w:rPr>
          <w:rFonts w:hint="eastAsia" w:ascii="仿宋" w:hAnsi="Calibri" w:eastAsia="仿宋" w:cs="Arial"/>
          <w:sz w:val="28"/>
        </w:rPr>
        <w:t>防控</w:t>
      </w:r>
      <w:r>
        <w:rPr>
          <w:rFonts w:hint="eastAsia" w:ascii="仿宋" w:hAnsi="Calibri" w:eastAsia="仿宋" w:cs="Arial"/>
          <w:sz w:val="28"/>
          <w:lang w:val="en-US" w:eastAsia="zh-CN"/>
        </w:rPr>
        <w:t>要求</w:t>
      </w:r>
      <w:r>
        <w:rPr>
          <w:rFonts w:hint="eastAsia" w:ascii="仿宋" w:hAnsi="Calibri" w:eastAsia="仿宋" w:cs="Arial"/>
          <w:sz w:val="28"/>
        </w:rPr>
        <w:t>，做好常态化疫情防控形势下，</w:t>
      </w:r>
      <w:r>
        <w:rPr>
          <w:rFonts w:hint="eastAsia" w:ascii="仿宋" w:hAnsi="Calibri" w:eastAsia="仿宋" w:cs="Arial"/>
          <w:color w:val="auto"/>
          <w:sz w:val="28"/>
          <w:lang w:val="en-US" w:eastAsia="zh-Hans"/>
        </w:rPr>
        <w:t>根据</w:t>
      </w:r>
      <w:r>
        <w:rPr>
          <w:rFonts w:hint="default" w:ascii="仿宋" w:hAnsi="Calibri" w:eastAsia="仿宋" w:cs="Arial"/>
          <w:color w:val="auto"/>
          <w:sz w:val="28"/>
        </w:rPr>
        <w:t>甘肃</w:t>
      </w:r>
      <w:r>
        <w:rPr>
          <w:rFonts w:hint="eastAsia" w:ascii="仿宋" w:hAnsi="Calibri" w:eastAsia="仿宋" w:cs="Arial"/>
          <w:color w:val="auto"/>
          <w:sz w:val="28"/>
        </w:rPr>
        <w:t>省职业院校技能大赛的新冠疫情防控保障</w:t>
      </w:r>
      <w:r>
        <w:rPr>
          <w:rFonts w:hint="eastAsia" w:ascii="仿宋" w:hAnsi="Calibri" w:eastAsia="仿宋" w:cs="Arial"/>
          <w:color w:val="auto"/>
          <w:sz w:val="28"/>
          <w:lang w:val="en-US" w:eastAsia="zh-Hans"/>
        </w:rPr>
        <w:t>要求</w:t>
      </w:r>
      <w:r>
        <w:rPr>
          <w:rFonts w:hint="eastAsia" w:ascii="仿宋" w:hAnsi="Calibri" w:eastAsia="仿宋" w:cs="Arial"/>
          <w:color w:val="auto"/>
          <w:sz w:val="28"/>
        </w:rPr>
        <w:t>，严格落实</w:t>
      </w:r>
      <w:r>
        <w:rPr>
          <w:rFonts w:hint="default" w:ascii="仿宋" w:hAnsi="Calibri" w:eastAsia="仿宋" w:cs="Arial"/>
          <w:color w:val="auto"/>
          <w:sz w:val="28"/>
        </w:rPr>
        <w:t>甘肃</w:t>
      </w:r>
      <w:r>
        <w:rPr>
          <w:rFonts w:hint="eastAsia" w:ascii="仿宋" w:hAnsi="Calibri" w:eastAsia="仿宋" w:cs="Arial"/>
          <w:color w:val="auto"/>
          <w:sz w:val="28"/>
        </w:rPr>
        <w:t>省职</w:t>
      </w:r>
      <w:r>
        <w:rPr>
          <w:rFonts w:hint="eastAsia" w:ascii="仿宋" w:hAnsi="Calibri" w:eastAsia="仿宋" w:cs="Arial"/>
          <w:sz w:val="28"/>
        </w:rPr>
        <w:t>业院校技能大赛组织方的疫情防控主体责任，坚持人物同防、多病共防，巩固联防联控、群防群治工作局面，精准预防，做到责任到位、保障到位、措施到位、及时掌握疫情防控动态，做好突发应急处置，确保赛事的平稳有序开展，安全顺利完成</w:t>
      </w:r>
      <w:r>
        <w:rPr>
          <w:rFonts w:hint="eastAsia" w:ascii="仿宋" w:hAnsi="Calibri" w:eastAsia="仿宋" w:cs="Arial"/>
          <w:sz w:val="28"/>
          <w:lang w:eastAsia="zh-CN"/>
        </w:rPr>
        <w:t>。</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4F71"/>
    <w:multiLevelType w:val="singleLevel"/>
    <w:tmpl w:val="3AA84F71"/>
    <w:lvl w:ilvl="0" w:tentative="0">
      <w:start w:val="3"/>
      <w:numFmt w:val="chineseCounting"/>
      <w:suff w:val="nothing"/>
      <w:lvlText w:val="%1、"/>
      <w:lvlJc w:val="left"/>
      <w:rPr>
        <w:rFonts w:hint="eastAsia"/>
      </w:rPr>
    </w:lvl>
  </w:abstractNum>
  <w:abstractNum w:abstractNumId="1">
    <w:nsid w:val="478B9AE0"/>
    <w:multiLevelType w:val="singleLevel"/>
    <w:tmpl w:val="478B9AE0"/>
    <w:lvl w:ilvl="0" w:tentative="0">
      <w:start w:val="6"/>
      <w:numFmt w:val="chineseCounting"/>
      <w:suff w:val="nothing"/>
      <w:lvlText w:val="%1、"/>
      <w:lvlJc w:val="left"/>
      <w:rPr>
        <w:rFonts w:hint="eastAsia"/>
      </w:rPr>
    </w:lvl>
  </w:abstractNum>
  <w:abstractNum w:abstractNumId="2">
    <w:nsid w:val="71759DD0"/>
    <w:multiLevelType w:val="singleLevel"/>
    <w:tmpl w:val="71759DD0"/>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93"/>
    <w:rsid w:val="00086902"/>
    <w:rsid w:val="000B57C8"/>
    <w:rsid w:val="000D4FC3"/>
    <w:rsid w:val="001115F8"/>
    <w:rsid w:val="00124CC6"/>
    <w:rsid w:val="00141CCD"/>
    <w:rsid w:val="00150854"/>
    <w:rsid w:val="001B5EF5"/>
    <w:rsid w:val="00202074"/>
    <w:rsid w:val="002143ED"/>
    <w:rsid w:val="0028439B"/>
    <w:rsid w:val="00303F9C"/>
    <w:rsid w:val="00314AFC"/>
    <w:rsid w:val="003C0AF1"/>
    <w:rsid w:val="00407278"/>
    <w:rsid w:val="00427471"/>
    <w:rsid w:val="00434D6B"/>
    <w:rsid w:val="004961ED"/>
    <w:rsid w:val="004A739B"/>
    <w:rsid w:val="004D378A"/>
    <w:rsid w:val="004E2121"/>
    <w:rsid w:val="004E34EE"/>
    <w:rsid w:val="004F04B3"/>
    <w:rsid w:val="00501431"/>
    <w:rsid w:val="00503D36"/>
    <w:rsid w:val="00516AC9"/>
    <w:rsid w:val="00543BF1"/>
    <w:rsid w:val="00587554"/>
    <w:rsid w:val="00592DE9"/>
    <w:rsid w:val="005C6837"/>
    <w:rsid w:val="005C7558"/>
    <w:rsid w:val="005F500D"/>
    <w:rsid w:val="00611043"/>
    <w:rsid w:val="00612F50"/>
    <w:rsid w:val="00690EE6"/>
    <w:rsid w:val="006C4889"/>
    <w:rsid w:val="006C6EB5"/>
    <w:rsid w:val="006D28FA"/>
    <w:rsid w:val="006D520E"/>
    <w:rsid w:val="006D7766"/>
    <w:rsid w:val="006E2E28"/>
    <w:rsid w:val="00744505"/>
    <w:rsid w:val="008305C0"/>
    <w:rsid w:val="00836D95"/>
    <w:rsid w:val="00841686"/>
    <w:rsid w:val="00843E66"/>
    <w:rsid w:val="00857269"/>
    <w:rsid w:val="0087392F"/>
    <w:rsid w:val="0094043F"/>
    <w:rsid w:val="00984AD2"/>
    <w:rsid w:val="009A375D"/>
    <w:rsid w:val="009E5A3E"/>
    <w:rsid w:val="00A652E6"/>
    <w:rsid w:val="00AD6440"/>
    <w:rsid w:val="00AD734B"/>
    <w:rsid w:val="00AE02E2"/>
    <w:rsid w:val="00AF34AB"/>
    <w:rsid w:val="00B54E9B"/>
    <w:rsid w:val="00BD7B0F"/>
    <w:rsid w:val="00BF1E15"/>
    <w:rsid w:val="00C81383"/>
    <w:rsid w:val="00CD08DF"/>
    <w:rsid w:val="00CE6B58"/>
    <w:rsid w:val="00CF4EE3"/>
    <w:rsid w:val="00D048B0"/>
    <w:rsid w:val="00D26523"/>
    <w:rsid w:val="00D3682D"/>
    <w:rsid w:val="00D75693"/>
    <w:rsid w:val="00D86544"/>
    <w:rsid w:val="00DA1F83"/>
    <w:rsid w:val="00DB2050"/>
    <w:rsid w:val="00DC0BFD"/>
    <w:rsid w:val="00DC76E1"/>
    <w:rsid w:val="00DD0088"/>
    <w:rsid w:val="00E56357"/>
    <w:rsid w:val="00E93BDC"/>
    <w:rsid w:val="00EB0836"/>
    <w:rsid w:val="00F5129B"/>
    <w:rsid w:val="00F5540B"/>
    <w:rsid w:val="00FE5552"/>
    <w:rsid w:val="059D3E45"/>
    <w:rsid w:val="05B70DC5"/>
    <w:rsid w:val="05CB4F31"/>
    <w:rsid w:val="05F32208"/>
    <w:rsid w:val="064E1A29"/>
    <w:rsid w:val="088854F3"/>
    <w:rsid w:val="09BA6DFC"/>
    <w:rsid w:val="0B56060A"/>
    <w:rsid w:val="0B6934D3"/>
    <w:rsid w:val="0B7F42B8"/>
    <w:rsid w:val="0CE560D5"/>
    <w:rsid w:val="0CFF13C8"/>
    <w:rsid w:val="0EA90F83"/>
    <w:rsid w:val="11CA0721"/>
    <w:rsid w:val="12F37475"/>
    <w:rsid w:val="14A765D2"/>
    <w:rsid w:val="161B57C4"/>
    <w:rsid w:val="18CF2EE6"/>
    <w:rsid w:val="1A806E16"/>
    <w:rsid w:val="1B177CDA"/>
    <w:rsid w:val="1B3A7897"/>
    <w:rsid w:val="1BA40901"/>
    <w:rsid w:val="1D900B46"/>
    <w:rsid w:val="1E2144D8"/>
    <w:rsid w:val="1F9C67E2"/>
    <w:rsid w:val="2027569E"/>
    <w:rsid w:val="202E5CF8"/>
    <w:rsid w:val="20383221"/>
    <w:rsid w:val="20760343"/>
    <w:rsid w:val="214842D5"/>
    <w:rsid w:val="25AD4003"/>
    <w:rsid w:val="25C7537C"/>
    <w:rsid w:val="267C63A8"/>
    <w:rsid w:val="273A4D51"/>
    <w:rsid w:val="275E1BE3"/>
    <w:rsid w:val="28540F91"/>
    <w:rsid w:val="2877136B"/>
    <w:rsid w:val="298270BF"/>
    <w:rsid w:val="2AD011C4"/>
    <w:rsid w:val="2CBA3EFF"/>
    <w:rsid w:val="2F866BFD"/>
    <w:rsid w:val="2FC239BC"/>
    <w:rsid w:val="30E46E07"/>
    <w:rsid w:val="32352A26"/>
    <w:rsid w:val="32883555"/>
    <w:rsid w:val="32F10DE1"/>
    <w:rsid w:val="33460E23"/>
    <w:rsid w:val="33846AAE"/>
    <w:rsid w:val="33B97527"/>
    <w:rsid w:val="34B93DEA"/>
    <w:rsid w:val="34C70378"/>
    <w:rsid w:val="34CE2962"/>
    <w:rsid w:val="37613EAD"/>
    <w:rsid w:val="3B9B7E74"/>
    <w:rsid w:val="3CEE0F43"/>
    <w:rsid w:val="3D1F7B3E"/>
    <w:rsid w:val="3DE3441A"/>
    <w:rsid w:val="3E8F4FFA"/>
    <w:rsid w:val="3EA803D7"/>
    <w:rsid w:val="3FEE39B6"/>
    <w:rsid w:val="40E2598B"/>
    <w:rsid w:val="46940351"/>
    <w:rsid w:val="4AF2687B"/>
    <w:rsid w:val="4BA2138B"/>
    <w:rsid w:val="4DBA4085"/>
    <w:rsid w:val="4EA50A03"/>
    <w:rsid w:val="50166065"/>
    <w:rsid w:val="504D7E78"/>
    <w:rsid w:val="53732895"/>
    <w:rsid w:val="53DC3362"/>
    <w:rsid w:val="54506EED"/>
    <w:rsid w:val="550B7FA2"/>
    <w:rsid w:val="556A37C0"/>
    <w:rsid w:val="55DE39D3"/>
    <w:rsid w:val="582B27A1"/>
    <w:rsid w:val="582E07E9"/>
    <w:rsid w:val="58637E87"/>
    <w:rsid w:val="59AD0618"/>
    <w:rsid w:val="5B9017E8"/>
    <w:rsid w:val="5BAB7688"/>
    <w:rsid w:val="5D9149F1"/>
    <w:rsid w:val="60966979"/>
    <w:rsid w:val="60A53DEF"/>
    <w:rsid w:val="616A0B06"/>
    <w:rsid w:val="634B357A"/>
    <w:rsid w:val="63CE78CF"/>
    <w:rsid w:val="659320BE"/>
    <w:rsid w:val="670B215B"/>
    <w:rsid w:val="673203C2"/>
    <w:rsid w:val="6B963FF1"/>
    <w:rsid w:val="6CAF270E"/>
    <w:rsid w:val="6D616F3B"/>
    <w:rsid w:val="6D8A40AD"/>
    <w:rsid w:val="716964A2"/>
    <w:rsid w:val="718C7925"/>
    <w:rsid w:val="72BA4E29"/>
    <w:rsid w:val="72E01BC7"/>
    <w:rsid w:val="75BE242B"/>
    <w:rsid w:val="76B0099C"/>
    <w:rsid w:val="775440A7"/>
    <w:rsid w:val="78313937"/>
    <w:rsid w:val="78C37947"/>
    <w:rsid w:val="7A0B7AA6"/>
    <w:rsid w:val="7C9A2D47"/>
    <w:rsid w:val="7D987A1F"/>
    <w:rsid w:val="7EC15ED5"/>
    <w:rsid w:val="7F52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spacing w:before="340" w:after="330" w:line="578" w:lineRule="auto"/>
      <w:jc w:val="left"/>
      <w:outlineLvl w:val="0"/>
    </w:pPr>
    <w:rPr>
      <w:rFonts w:ascii="Calibri" w:hAnsi="Calibri" w:cs="Arial"/>
      <w:b/>
      <w:bCs/>
      <w:kern w:val="44"/>
      <w:sz w:val="44"/>
      <w:szCs w:val="44"/>
    </w:rPr>
  </w:style>
  <w:style w:type="paragraph" w:styleId="3">
    <w:name w:val="heading 2"/>
    <w:basedOn w:val="1"/>
    <w:next w:val="1"/>
    <w:link w:val="15"/>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11"/>
    <w:unhideWhenUsed/>
    <w:qFormat/>
    <w:uiPriority w:val="9"/>
    <w:pPr>
      <w:keepNext/>
      <w:keepLines/>
      <w:widowControl/>
      <w:spacing w:before="260" w:after="260" w:line="416" w:lineRule="auto"/>
      <w:jc w:val="left"/>
      <w:outlineLvl w:val="2"/>
    </w:pPr>
    <w:rPr>
      <w:rFonts w:ascii="Calibri" w:hAnsi="Calibri" w:cs="Arial"/>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标题 3 字符"/>
    <w:basedOn w:val="10"/>
    <w:link w:val="4"/>
    <w:qFormat/>
    <w:uiPriority w:val="9"/>
    <w:rPr>
      <w:rFonts w:ascii="Calibri" w:hAnsi="Calibri" w:cs="Arial"/>
      <w:b/>
      <w:bCs/>
      <w:kern w:val="0"/>
      <w:sz w:val="32"/>
      <w:szCs w:val="32"/>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Calibri" w:hAnsi="Calibri" w:cs="Arial"/>
      <w:b/>
      <w:bCs/>
      <w:kern w:val="44"/>
      <w:sz w:val="44"/>
      <w:szCs w:val="44"/>
    </w:rPr>
  </w:style>
  <w:style w:type="character" w:customStyle="1" w:styleId="15">
    <w:name w:val="标题 2 字符"/>
    <w:basedOn w:val="10"/>
    <w:link w:val="3"/>
    <w:qFormat/>
    <w:uiPriority w:val="9"/>
    <w:rPr>
      <w:rFonts w:asciiTheme="majorHAnsi" w:hAnsiTheme="majorHAnsi" w:eastAsiaTheme="majorEastAsia" w:cstheme="majorBidi"/>
      <w:b/>
      <w:bCs/>
      <w:kern w:val="0"/>
      <w:sz w:val="32"/>
      <w:szCs w:val="32"/>
    </w:rPr>
  </w:style>
  <w:style w:type="paragraph" w:customStyle="1" w:styleId="16">
    <w:name w:val="Other|1"/>
    <w:basedOn w:val="1"/>
    <w:qFormat/>
    <w:uiPriority w:val="0"/>
    <w:pPr>
      <w:spacing w:line="480" w:lineRule="auto"/>
      <w:ind w:firstLine="400"/>
    </w:pPr>
    <w:rPr>
      <w:rFonts w:ascii="宋体" w:hAnsi="宋体" w:eastAsia="宋体" w:cs="宋体"/>
      <w:color w:val="4F4E50"/>
      <w:sz w:val="26"/>
      <w:szCs w:val="26"/>
      <w:lang w:val="zh-TW" w:eastAsia="zh-TW" w:bidi="zh-TW"/>
    </w:rPr>
  </w:style>
  <w:style w:type="paragraph" w:customStyle="1" w:styleId="17">
    <w:name w:val="Body text|1"/>
    <w:basedOn w:val="1"/>
    <w:qFormat/>
    <w:uiPriority w:val="0"/>
    <w:pPr>
      <w:spacing w:line="480" w:lineRule="auto"/>
      <w:ind w:firstLine="400"/>
    </w:pPr>
    <w:rPr>
      <w:rFonts w:ascii="宋体" w:hAnsi="宋体" w:eastAsia="宋体" w:cs="宋体"/>
      <w:color w:val="4F4E5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2282</Words>
  <Characters>13013</Characters>
  <Lines>108</Lines>
  <Paragraphs>30</Paragraphs>
  <TotalTime>1</TotalTime>
  <ScaleCrop>false</ScaleCrop>
  <LinksUpToDate>false</LinksUpToDate>
  <CharactersWithSpaces>15265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2021-04-11T02:23:00Z</dcterms:created>
  <dc:creator>Administrator</dc:creator>
  <cp:lastModifiedBy>段小焕</cp:lastModifiedBy>
  <cp:lastPrinted>2021-04-15T10:01:00Z</cp:lastPrinted>
  <dcterms:modified xsi:type="dcterms:W3CDTF">2022-03-04T00:55:07Z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7BE046E8A2BE474DB67EDE7CFFBE4F6A</vt:lpwstr>
  </property>
</Properties>
</file>