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98" w:rsidRDefault="00587E98">
      <w:pPr>
        <w:jc w:val="center"/>
        <w:rPr>
          <w:rFonts w:ascii="宋体" w:eastAsia="宋体" w:hAnsi="宋体" w:cs="宋体"/>
          <w:b/>
          <w:bCs/>
          <w:sz w:val="44"/>
          <w:szCs w:val="44"/>
        </w:rPr>
      </w:pPr>
    </w:p>
    <w:p w:rsidR="00587E98" w:rsidRDefault="003679C0" w:rsidP="00FB155A">
      <w:pPr>
        <w:autoSpaceDE/>
        <w:autoSpaceDN/>
        <w:spacing w:beforeLines="200" w:afterLines="200" w:line="480" w:lineRule="auto"/>
        <w:jc w:val="center"/>
        <w:rPr>
          <w:rFonts w:ascii="黑体" w:eastAsia="黑体" w:hAnsi="黑体" w:cs="黑体"/>
          <w:sz w:val="52"/>
          <w:szCs w:val="52"/>
          <w:lang w:val="en-US"/>
        </w:rPr>
      </w:pPr>
      <w:r>
        <w:rPr>
          <w:rFonts w:ascii="黑体" w:eastAsia="黑体" w:hAnsi="黑体" w:cs="黑体" w:hint="eastAsia"/>
          <w:sz w:val="52"/>
          <w:szCs w:val="52"/>
          <w:lang w:val="en-US"/>
        </w:rPr>
        <w:t>2022年全省职业院校技能大赛</w:t>
      </w:r>
    </w:p>
    <w:p w:rsidR="00587E98" w:rsidRDefault="003679C0" w:rsidP="00FB155A">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高职学生组土木工程无损检测赛项</w:t>
      </w:r>
    </w:p>
    <w:p w:rsidR="009B722E" w:rsidRDefault="009B722E" w:rsidP="00FB155A">
      <w:pPr>
        <w:autoSpaceDE/>
        <w:autoSpaceDN/>
        <w:spacing w:beforeLines="100" w:afterLines="100"/>
        <w:jc w:val="center"/>
        <w:rPr>
          <w:rFonts w:ascii="宋体" w:eastAsia="宋体" w:hAnsi="宋体" w:cs="宋体"/>
          <w:b/>
          <w:bCs/>
          <w:sz w:val="52"/>
          <w:szCs w:val="52"/>
          <w:lang w:val="en-US"/>
        </w:rPr>
      </w:pPr>
    </w:p>
    <w:p w:rsidR="00587E98" w:rsidRDefault="003679C0" w:rsidP="00FB155A">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竞</w:t>
      </w:r>
    </w:p>
    <w:p w:rsidR="00587E98" w:rsidRDefault="003679C0" w:rsidP="00FB155A">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赛</w:t>
      </w:r>
    </w:p>
    <w:p w:rsidR="00587E98" w:rsidRDefault="003679C0" w:rsidP="00FB155A">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规</w:t>
      </w:r>
    </w:p>
    <w:p w:rsidR="00587E98" w:rsidRDefault="003679C0" w:rsidP="00FB155A">
      <w:pPr>
        <w:autoSpaceDE/>
        <w:autoSpaceDN/>
        <w:spacing w:beforeLines="100" w:afterLines="100"/>
        <w:jc w:val="center"/>
        <w:rPr>
          <w:rFonts w:ascii="宋体" w:eastAsia="宋体" w:hAnsi="宋体" w:cs="宋体"/>
          <w:b/>
          <w:bCs/>
          <w:sz w:val="52"/>
          <w:szCs w:val="52"/>
          <w:lang w:val="en-US"/>
        </w:rPr>
      </w:pPr>
      <w:r>
        <w:rPr>
          <w:rFonts w:ascii="宋体" w:eastAsia="宋体" w:hAnsi="宋体" w:cs="宋体" w:hint="eastAsia"/>
          <w:b/>
          <w:bCs/>
          <w:sz w:val="52"/>
          <w:szCs w:val="52"/>
          <w:lang w:val="en-US"/>
        </w:rPr>
        <w:t>程</w:t>
      </w:r>
    </w:p>
    <w:p w:rsidR="00587E98" w:rsidRDefault="00587E98" w:rsidP="00FB155A">
      <w:pPr>
        <w:autoSpaceDE/>
        <w:autoSpaceDN/>
        <w:spacing w:beforeLines="100" w:afterLines="100"/>
        <w:jc w:val="center"/>
        <w:rPr>
          <w:rFonts w:ascii="宋体" w:eastAsia="宋体" w:hAnsi="宋体" w:cs="宋体"/>
          <w:b/>
          <w:bCs/>
          <w:sz w:val="52"/>
          <w:szCs w:val="52"/>
          <w:lang w:val="en-US"/>
        </w:rPr>
      </w:pPr>
    </w:p>
    <w:p w:rsidR="00587E98" w:rsidRDefault="00587E98" w:rsidP="00FB155A">
      <w:pPr>
        <w:autoSpaceDE/>
        <w:autoSpaceDN/>
        <w:spacing w:beforeLines="100" w:afterLines="100"/>
        <w:jc w:val="center"/>
        <w:rPr>
          <w:rFonts w:ascii="宋体" w:eastAsia="宋体" w:hAnsi="宋体" w:cs="宋体"/>
          <w:b/>
          <w:bCs/>
          <w:sz w:val="52"/>
          <w:szCs w:val="52"/>
          <w:lang w:val="en-US"/>
        </w:rPr>
      </w:pPr>
    </w:p>
    <w:p w:rsidR="00587E98" w:rsidRDefault="00587E98" w:rsidP="00FB155A">
      <w:pPr>
        <w:autoSpaceDE/>
        <w:autoSpaceDN/>
        <w:spacing w:beforeLines="100" w:afterLines="100"/>
        <w:jc w:val="center"/>
        <w:rPr>
          <w:rFonts w:ascii="宋体" w:eastAsia="宋体" w:hAnsi="宋体" w:cs="宋体"/>
          <w:b/>
          <w:bCs/>
          <w:sz w:val="52"/>
          <w:szCs w:val="52"/>
          <w:lang w:val="en-US"/>
        </w:rPr>
      </w:pPr>
    </w:p>
    <w:p w:rsidR="00587E98" w:rsidRDefault="00587E98" w:rsidP="00FB155A">
      <w:pPr>
        <w:autoSpaceDE/>
        <w:autoSpaceDN/>
        <w:spacing w:beforeLines="100" w:afterLines="100"/>
        <w:jc w:val="center"/>
        <w:rPr>
          <w:rFonts w:ascii="宋体" w:eastAsia="宋体" w:hAnsi="宋体" w:cs="宋体"/>
          <w:b/>
          <w:bCs/>
          <w:sz w:val="52"/>
          <w:szCs w:val="52"/>
          <w:lang w:val="en-US"/>
        </w:rPr>
      </w:pPr>
    </w:p>
    <w:p w:rsidR="00587E98" w:rsidRDefault="003679C0" w:rsidP="00FB155A">
      <w:pPr>
        <w:autoSpaceDE/>
        <w:autoSpaceDN/>
        <w:spacing w:beforeLines="100" w:afterLines="100"/>
        <w:jc w:val="center"/>
        <w:rPr>
          <w:rFonts w:ascii="黑体" w:eastAsia="黑体" w:hAnsi="黑体" w:cs="黑体"/>
          <w:sz w:val="36"/>
          <w:szCs w:val="36"/>
          <w:lang w:val="en-US"/>
        </w:rPr>
      </w:pPr>
      <w:r>
        <w:rPr>
          <w:rFonts w:ascii="黑体" w:eastAsia="黑体" w:hAnsi="黑体" w:cs="黑体" w:hint="eastAsia"/>
          <w:sz w:val="36"/>
          <w:szCs w:val="36"/>
          <w:lang w:val="en-US"/>
        </w:rPr>
        <w:t>甘肃</w:t>
      </w:r>
      <w:r w:rsidR="009B722E">
        <w:rPr>
          <w:rFonts w:ascii="黑体" w:eastAsia="黑体" w:hAnsi="黑体" w:cs="黑体" w:hint="eastAsia"/>
          <w:sz w:val="36"/>
          <w:szCs w:val="36"/>
          <w:lang w:val="en-US"/>
        </w:rPr>
        <w:t>省教育厅</w:t>
      </w:r>
    </w:p>
    <w:p w:rsidR="00587E98" w:rsidRDefault="003679C0" w:rsidP="00FB155A">
      <w:pPr>
        <w:autoSpaceDE/>
        <w:autoSpaceDN/>
        <w:spacing w:beforeLines="100" w:afterLines="100"/>
        <w:jc w:val="center"/>
        <w:rPr>
          <w:rFonts w:ascii="黑体" w:eastAsia="黑体" w:hAnsi="黑体" w:cs="黑体"/>
          <w:sz w:val="36"/>
          <w:szCs w:val="36"/>
        </w:rPr>
      </w:pPr>
      <w:r>
        <w:rPr>
          <w:rFonts w:ascii="黑体" w:eastAsia="黑体" w:hAnsi="黑体" w:cs="黑体" w:hint="eastAsia"/>
          <w:sz w:val="36"/>
          <w:szCs w:val="36"/>
        </w:rPr>
        <w:t>二〇二</w:t>
      </w:r>
      <w:r>
        <w:rPr>
          <w:rFonts w:ascii="黑体" w:eastAsia="黑体" w:hAnsi="黑体" w:cs="黑体" w:hint="eastAsia"/>
          <w:sz w:val="36"/>
          <w:szCs w:val="36"/>
          <w:lang w:val="en-US"/>
        </w:rPr>
        <w:t>二</w:t>
      </w:r>
      <w:r>
        <w:rPr>
          <w:rFonts w:ascii="黑体" w:eastAsia="黑体" w:hAnsi="黑体" w:cs="黑体" w:hint="eastAsia"/>
          <w:sz w:val="36"/>
          <w:szCs w:val="36"/>
        </w:rPr>
        <w:t>年</w:t>
      </w:r>
      <w:r>
        <w:rPr>
          <w:rFonts w:ascii="黑体" w:eastAsia="黑体" w:hAnsi="黑体" w:cs="黑体" w:hint="eastAsia"/>
          <w:sz w:val="36"/>
          <w:szCs w:val="36"/>
          <w:lang w:val="en-US"/>
        </w:rPr>
        <w:t>三</w:t>
      </w:r>
      <w:r>
        <w:rPr>
          <w:rFonts w:ascii="黑体" w:eastAsia="黑体" w:hAnsi="黑体" w:cs="黑体" w:hint="eastAsia"/>
          <w:sz w:val="36"/>
          <w:szCs w:val="36"/>
        </w:rPr>
        <w:t>月</w:t>
      </w:r>
    </w:p>
    <w:p w:rsidR="00587E98" w:rsidRDefault="003679C0">
      <w:pPr>
        <w:rPr>
          <w:rFonts w:ascii="黑体" w:eastAsia="黑体" w:hAnsi="黑体" w:cs="黑体"/>
          <w:sz w:val="30"/>
          <w:szCs w:val="30"/>
          <w:lang w:val="en-US"/>
        </w:rPr>
      </w:pPr>
      <w:r>
        <w:rPr>
          <w:rFonts w:ascii="黑体" w:eastAsia="黑体" w:hAnsi="黑体" w:cs="黑体" w:hint="eastAsia"/>
          <w:sz w:val="30"/>
          <w:szCs w:val="30"/>
          <w:lang w:val="en-US"/>
        </w:rPr>
        <w:br w:type="page"/>
      </w:r>
    </w:p>
    <w:sdt>
      <w:sdtPr>
        <w:rPr>
          <w:rFonts w:ascii="仿宋_GB2312" w:eastAsia="仿宋_GB2312" w:hAnsi="仿宋_GB2312" w:cs="仿宋_GB2312" w:hint="eastAsia"/>
          <w:b/>
          <w:kern w:val="2"/>
          <w:sz w:val="28"/>
          <w:szCs w:val="28"/>
          <w:lang w:bidi="ar-SA"/>
        </w:rPr>
        <w:id w:val="147462458"/>
        <w:docPartObj>
          <w:docPartGallery w:val="Table of Contents"/>
          <w:docPartUnique/>
        </w:docPartObj>
      </w:sdtPr>
      <w:sdtEndPr>
        <w:rPr>
          <w:rFonts w:ascii="黑体" w:eastAsia="黑体" w:hAnsi="黑体" w:cs="黑体"/>
          <w:sz w:val="22"/>
          <w:szCs w:val="30"/>
          <w:lang w:val="en-US" w:bidi="zh-CN"/>
        </w:rPr>
      </w:sdtEndPr>
      <w:sdtContent>
        <w:p w:rsidR="00587E98" w:rsidRDefault="003679C0">
          <w:pPr>
            <w:jc w:val="center"/>
            <w:rPr>
              <w:rFonts w:ascii="仿宋_GB2312" w:eastAsia="仿宋_GB2312" w:hAnsi="仿宋_GB2312" w:cs="仿宋_GB2312"/>
              <w:b/>
              <w:kern w:val="2"/>
              <w:sz w:val="28"/>
              <w:szCs w:val="28"/>
              <w:lang w:val="en-US" w:bidi="ar-SA"/>
            </w:rPr>
          </w:pPr>
          <w:r>
            <w:rPr>
              <w:rFonts w:ascii="仿宋_GB2312" w:eastAsia="仿宋_GB2312" w:hAnsi="仿宋_GB2312" w:cs="仿宋_GB2312" w:hint="eastAsia"/>
              <w:b/>
              <w:kern w:val="2"/>
              <w:sz w:val="28"/>
              <w:szCs w:val="28"/>
              <w:lang w:val="en-US" w:bidi="ar-SA"/>
            </w:rPr>
            <w:t>目录</w:t>
          </w:r>
        </w:p>
        <w:p w:rsidR="00587E98" w:rsidRDefault="006A67E3">
          <w:pPr>
            <w:pStyle w:val="10"/>
            <w:tabs>
              <w:tab w:val="right" w:leader="dot" w:pos="9740"/>
            </w:tabs>
            <w:spacing w:line="305" w:lineRule="auto"/>
            <w:rPr>
              <w:rFonts w:ascii="仿宋" w:eastAsia="仿宋" w:hAnsi="仿宋" w:cs="仿宋"/>
            </w:rPr>
          </w:pPr>
          <w:r>
            <w:rPr>
              <w:rFonts w:ascii="仿宋" w:eastAsia="仿宋" w:hAnsi="仿宋" w:cs="仿宋" w:hint="eastAsia"/>
              <w:lang w:val="en-US"/>
            </w:rPr>
            <w:fldChar w:fldCharType="begin"/>
          </w:r>
          <w:r w:rsidR="003679C0">
            <w:rPr>
              <w:rFonts w:ascii="仿宋" w:eastAsia="仿宋" w:hAnsi="仿宋" w:cs="仿宋" w:hint="eastAsia"/>
              <w:lang w:val="en-US"/>
            </w:rPr>
            <w:instrText xml:space="preserve">TOC \o "1-3" \h \u </w:instrText>
          </w:r>
          <w:r>
            <w:rPr>
              <w:rFonts w:ascii="仿宋" w:eastAsia="仿宋" w:hAnsi="仿宋" w:cs="仿宋" w:hint="eastAsia"/>
              <w:lang w:val="en-US"/>
            </w:rPr>
            <w:fldChar w:fldCharType="separate"/>
          </w:r>
          <w:hyperlink w:anchor="_Toc22690" w:history="1">
            <w:r w:rsidR="003679C0">
              <w:rPr>
                <w:rFonts w:ascii="仿宋" w:eastAsia="仿宋" w:hAnsi="仿宋" w:cs="仿宋" w:hint="eastAsia"/>
                <w:kern w:val="44"/>
                <w:lang w:val="en-US" w:bidi="ar-SA"/>
              </w:rPr>
              <w:t>一、 赛项名称</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_Toc22690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26643" w:history="1">
            <w:r w:rsidR="003679C0">
              <w:rPr>
                <w:rFonts w:ascii="仿宋" w:eastAsia="仿宋" w:hAnsi="仿宋" w:cs="仿宋" w:hint="eastAsia"/>
                <w:kern w:val="44"/>
                <w:lang w:val="en-US" w:bidi="ar-SA"/>
              </w:rPr>
              <w:t>二、 竞赛目的</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_Toc26643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8130" w:history="1">
            <w:r w:rsidR="003679C0">
              <w:rPr>
                <w:rFonts w:ascii="仿宋" w:eastAsia="仿宋" w:hAnsi="仿宋" w:cs="仿宋" w:hint="eastAsia"/>
                <w:kern w:val="44"/>
                <w:lang w:val="en-US" w:bidi="ar-SA"/>
              </w:rPr>
              <w:t>三、 竞赛时间、地点</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_Toc18130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21968" w:history="1">
            <w:r w:rsidR="003679C0">
              <w:rPr>
                <w:rFonts w:ascii="仿宋" w:eastAsia="仿宋" w:hAnsi="仿宋" w:cs="仿宋" w:hint="eastAsia"/>
                <w:kern w:val="2"/>
                <w:lang w:val="en-US" w:bidi="ar-SA"/>
              </w:rPr>
              <w:t>（一） 竞赛时间</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_Toc21968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28631" w:history="1">
            <w:r w:rsidR="003679C0">
              <w:rPr>
                <w:rFonts w:ascii="仿宋" w:eastAsia="仿宋" w:hAnsi="仿宋" w:cs="仿宋" w:hint="eastAsia"/>
                <w:kern w:val="2"/>
                <w:lang w:val="en-US" w:bidi="ar-SA"/>
              </w:rPr>
              <w:t>（二） 竞赛地点</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_Toc28631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2</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2976" w:history="1">
            <w:r w:rsidR="003679C0">
              <w:rPr>
                <w:rFonts w:ascii="仿宋" w:eastAsia="仿宋" w:hAnsi="仿宋" w:cs="仿宋" w:hint="eastAsia"/>
                <w:kern w:val="44"/>
                <w:lang w:val="en-US" w:bidi="ar-SA"/>
              </w:rPr>
              <w:t>四、 竞赛内容</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_Toc12976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2</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7803" w:history="1">
            <w:r w:rsidR="003679C0">
              <w:rPr>
                <w:rFonts w:ascii="仿宋" w:eastAsia="仿宋" w:hAnsi="仿宋" w:cs="仿宋" w:hint="eastAsia"/>
                <w:kern w:val="2"/>
                <w:lang w:val="en-US" w:bidi="ar-SA"/>
              </w:rPr>
              <w:t>（一） 竞赛内容</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_Toc17803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2</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4149" w:history="1">
            <w:r w:rsidR="003679C0">
              <w:rPr>
                <w:rFonts w:ascii="仿宋" w:eastAsia="仿宋" w:hAnsi="仿宋" w:cs="仿宋" w:hint="eastAsia"/>
                <w:kern w:val="2"/>
                <w:lang w:val="en-US" w:bidi="ar-SA"/>
              </w:rPr>
              <w:t>（二） 竞赛要求</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_Toc4149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3</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9779" w:history="1">
            <w:r w:rsidR="003679C0">
              <w:rPr>
                <w:rFonts w:ascii="仿宋" w:eastAsia="仿宋" w:hAnsi="仿宋" w:cs="仿宋" w:hint="eastAsia"/>
                <w:kern w:val="44"/>
                <w:lang w:val="en-US" w:bidi="ar-SA"/>
              </w:rPr>
              <w:t>五、 竞赛方式</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_Toc9779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3</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7207" w:history="1">
            <w:r w:rsidR="003679C0">
              <w:rPr>
                <w:rFonts w:ascii="仿宋" w:eastAsia="仿宋" w:hAnsi="仿宋" w:cs="仿宋" w:hint="eastAsia"/>
                <w:kern w:val="44"/>
                <w:lang w:val="en-US" w:bidi="ar-SA"/>
              </w:rPr>
              <w:t>六、 竞赛环境</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_Toc17207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4</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9553" w:history="1">
            <w:r w:rsidR="003679C0">
              <w:rPr>
                <w:rFonts w:ascii="仿宋" w:eastAsia="仿宋" w:hAnsi="仿宋" w:cs="仿宋" w:hint="eastAsia"/>
                <w:kern w:val="44"/>
                <w:lang w:val="en-US" w:bidi="ar-SA"/>
              </w:rPr>
              <w:t>七、 技术规范</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_Toc19553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4</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22702" w:history="1">
            <w:r w:rsidR="003679C0">
              <w:rPr>
                <w:rFonts w:ascii="仿宋" w:eastAsia="仿宋" w:hAnsi="仿宋" w:cs="仿宋" w:hint="eastAsia"/>
                <w:kern w:val="44"/>
                <w:lang w:val="en-US" w:bidi="ar-SA"/>
              </w:rPr>
              <w:t>八、 技术平台</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_Toc22702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5</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8986" w:history="1">
            <w:r w:rsidR="003679C0">
              <w:rPr>
                <w:rFonts w:ascii="仿宋" w:eastAsia="仿宋" w:hAnsi="仿宋" w:cs="仿宋" w:hint="eastAsia"/>
                <w:kern w:val="44"/>
                <w:lang w:val="en-US" w:bidi="ar-SA"/>
              </w:rPr>
              <w:t>九、 评分办法</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_Toc8986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5</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464" w:history="1">
            <w:r w:rsidR="003679C0">
              <w:rPr>
                <w:rFonts w:ascii="仿宋" w:eastAsia="仿宋" w:hAnsi="仿宋" w:cs="仿宋" w:hint="eastAsia"/>
                <w:kern w:val="2"/>
                <w:lang w:val="en-US" w:bidi="ar-SA"/>
              </w:rPr>
              <w:t>（一） 制定原则</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_Toc464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5</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8417" w:history="1">
            <w:r w:rsidR="003679C0">
              <w:rPr>
                <w:rFonts w:ascii="仿宋" w:eastAsia="仿宋" w:hAnsi="仿宋" w:cs="仿宋" w:hint="eastAsia"/>
                <w:kern w:val="2"/>
                <w:lang w:val="en-US" w:bidi="ar-SA"/>
              </w:rPr>
              <w:t>（二） 评分方法</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_Toc18417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5</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4896" w:history="1">
            <w:r w:rsidR="003679C0">
              <w:rPr>
                <w:rFonts w:ascii="仿宋" w:eastAsia="仿宋" w:hAnsi="仿宋" w:cs="仿宋" w:hint="eastAsia"/>
                <w:kern w:val="2"/>
                <w:lang w:val="en-US" w:bidi="ar-SA"/>
              </w:rPr>
              <w:t>（三） 评分标准</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_Toc14896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6</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4921" w:history="1">
            <w:r w:rsidR="003679C0">
              <w:rPr>
                <w:rFonts w:ascii="仿宋" w:eastAsia="仿宋" w:hAnsi="仿宋" w:cs="仿宋" w:hint="eastAsia"/>
                <w:kern w:val="2"/>
                <w:lang w:val="en-US" w:bidi="ar-SA"/>
              </w:rPr>
              <w:t>（四） 成绩评定</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_Toc4921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7</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6320" w:history="1">
            <w:r w:rsidR="003679C0">
              <w:rPr>
                <w:rFonts w:ascii="仿宋" w:eastAsia="仿宋" w:hAnsi="仿宋" w:cs="仿宋" w:hint="eastAsia"/>
                <w:kern w:val="2"/>
                <w:lang w:val="en-US" w:bidi="ar-SA"/>
              </w:rPr>
              <w:t>（五） 成绩公布</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_Toc16320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7</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32374" w:history="1">
            <w:r w:rsidR="003679C0">
              <w:rPr>
                <w:rFonts w:ascii="仿宋" w:eastAsia="仿宋" w:hAnsi="仿宋" w:cs="仿宋" w:hint="eastAsia"/>
                <w:kern w:val="44"/>
                <w:lang w:val="en-US" w:bidi="ar-SA"/>
              </w:rPr>
              <w:t>十、 奖项设定</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_Toc32374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7</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29662" w:history="1">
            <w:r w:rsidR="003679C0">
              <w:rPr>
                <w:rFonts w:ascii="仿宋" w:eastAsia="仿宋" w:hAnsi="仿宋" w:cs="仿宋" w:hint="eastAsia"/>
                <w:kern w:val="44"/>
                <w:lang w:val="en-US" w:bidi="ar-SA"/>
              </w:rPr>
              <w:t>十一、 申诉与仲裁</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_Toc29662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7</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7340" w:history="1">
            <w:r w:rsidR="003679C0">
              <w:rPr>
                <w:rFonts w:ascii="仿宋" w:eastAsia="仿宋" w:hAnsi="仿宋" w:cs="仿宋" w:hint="eastAsia"/>
                <w:kern w:val="44"/>
                <w:lang w:val="en-US" w:bidi="ar-SA"/>
              </w:rPr>
              <w:t>十二、 赛项安全</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_Toc17340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8</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3781" w:history="1">
            <w:r w:rsidR="003679C0">
              <w:rPr>
                <w:rFonts w:ascii="仿宋" w:eastAsia="仿宋" w:hAnsi="仿宋" w:cs="仿宋" w:hint="eastAsia"/>
                <w:kern w:val="2"/>
                <w:lang w:val="en-US" w:bidi="ar-SA"/>
              </w:rPr>
              <w:t>（一） 安全保障组织机构</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_Toc13781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8</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9371" w:history="1">
            <w:r w:rsidR="003679C0">
              <w:rPr>
                <w:rFonts w:ascii="仿宋" w:eastAsia="仿宋" w:hAnsi="仿宋" w:cs="仿宋" w:hint="eastAsia"/>
                <w:kern w:val="2"/>
                <w:lang w:val="en-US" w:bidi="ar-SA"/>
              </w:rPr>
              <w:t>（二） 选手安全要求</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_Toc9371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9</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2694" w:history="1">
            <w:r w:rsidR="003679C0">
              <w:rPr>
                <w:rFonts w:ascii="仿宋" w:eastAsia="仿宋" w:hAnsi="仿宋" w:cs="仿宋" w:hint="eastAsia"/>
                <w:kern w:val="2"/>
                <w:lang w:val="en-US" w:bidi="ar-SA"/>
              </w:rPr>
              <w:t>（三） 安保工作要求</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_Toc2694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9</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32193" w:history="1">
            <w:r w:rsidR="003679C0">
              <w:rPr>
                <w:rFonts w:ascii="仿宋" w:eastAsia="仿宋" w:hAnsi="仿宋" w:cs="仿宋" w:hint="eastAsia"/>
                <w:kern w:val="2"/>
                <w:lang w:val="en-US" w:bidi="ar-SA"/>
              </w:rPr>
              <w:t>（四） 裁判安全要求</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_Toc32193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9</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6901" w:history="1">
            <w:r w:rsidR="003679C0">
              <w:rPr>
                <w:rFonts w:ascii="仿宋" w:eastAsia="仿宋" w:hAnsi="仿宋" w:cs="仿宋" w:hint="eastAsia"/>
                <w:kern w:val="2"/>
                <w:lang w:val="en-US" w:bidi="ar-SA"/>
              </w:rPr>
              <w:t>（五） 赛场文明</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_Toc16901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10</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3453" w:history="1">
            <w:r w:rsidR="003679C0">
              <w:rPr>
                <w:rFonts w:ascii="仿宋" w:eastAsia="仿宋" w:hAnsi="仿宋" w:cs="仿宋" w:hint="eastAsia"/>
                <w:kern w:val="2"/>
                <w:lang w:val="en-US" w:bidi="ar-SA"/>
              </w:rPr>
              <w:t>（六） 应急处理预案</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_Toc13453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10</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4975" w:history="1">
            <w:r w:rsidR="003679C0">
              <w:rPr>
                <w:rFonts w:ascii="仿宋" w:eastAsia="仿宋" w:hAnsi="仿宋" w:cs="仿宋" w:hint="eastAsia"/>
                <w:kern w:val="2"/>
                <w:lang w:val="en-US" w:bidi="ar-SA"/>
              </w:rPr>
              <w:t>（七） 防疫保障</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_Toc4975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10</w:t>
            </w:r>
            <w:r>
              <w:rPr>
                <w:rFonts w:ascii="仿宋" w:eastAsia="仿宋" w:hAnsi="仿宋" w:cs="仿宋" w:hint="eastAsia"/>
              </w:rPr>
              <w:fldChar w:fldCharType="end"/>
            </w:r>
          </w:hyperlink>
        </w:p>
        <w:p w:rsidR="00587E98" w:rsidRDefault="006A67E3">
          <w:pPr>
            <w:pStyle w:val="10"/>
            <w:tabs>
              <w:tab w:val="right" w:leader="dot" w:pos="9740"/>
            </w:tabs>
            <w:spacing w:line="305" w:lineRule="auto"/>
            <w:rPr>
              <w:rFonts w:ascii="仿宋" w:eastAsia="仿宋" w:hAnsi="仿宋" w:cs="仿宋"/>
            </w:rPr>
          </w:pPr>
          <w:hyperlink w:anchor="_Toc13837" w:history="1">
            <w:r w:rsidR="003679C0">
              <w:rPr>
                <w:rFonts w:ascii="仿宋" w:eastAsia="仿宋" w:hAnsi="仿宋" w:cs="仿宋" w:hint="eastAsia"/>
                <w:kern w:val="44"/>
                <w:lang w:val="en-US" w:bidi="ar-SA"/>
              </w:rPr>
              <w:t>十三、 其他规定</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_Toc13837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13</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0322" w:history="1">
            <w:r w:rsidR="003679C0">
              <w:rPr>
                <w:rFonts w:ascii="仿宋" w:eastAsia="仿宋" w:hAnsi="仿宋" w:cs="仿宋" w:hint="eastAsia"/>
                <w:kern w:val="2"/>
                <w:lang w:val="en-US" w:bidi="ar-SA"/>
              </w:rPr>
              <w:t>（一） 参赛队伍须知</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_Toc10322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13</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15187" w:history="1">
            <w:r w:rsidR="003679C0">
              <w:rPr>
                <w:rFonts w:ascii="仿宋" w:eastAsia="仿宋" w:hAnsi="仿宋" w:cs="仿宋" w:hint="eastAsia"/>
                <w:kern w:val="2"/>
                <w:lang w:val="en-US" w:bidi="ar-SA"/>
              </w:rPr>
              <w:t>（二） 指导教师须知</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_Toc15187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13</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7250" w:history="1">
            <w:r w:rsidR="003679C0">
              <w:rPr>
                <w:rFonts w:ascii="仿宋" w:eastAsia="仿宋" w:hAnsi="仿宋" w:cs="仿宋" w:hint="eastAsia"/>
                <w:kern w:val="2"/>
                <w:lang w:val="en-US" w:bidi="ar-SA"/>
              </w:rPr>
              <w:t>（三） 参赛选手须知</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_Toc7250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14</w:t>
            </w:r>
            <w:r>
              <w:rPr>
                <w:rFonts w:ascii="仿宋" w:eastAsia="仿宋" w:hAnsi="仿宋" w:cs="仿宋" w:hint="eastAsia"/>
              </w:rPr>
              <w:fldChar w:fldCharType="end"/>
            </w:r>
          </w:hyperlink>
        </w:p>
        <w:p w:rsidR="00587E98" w:rsidRDefault="006A67E3" w:rsidP="009B722E">
          <w:pPr>
            <w:pStyle w:val="20"/>
            <w:tabs>
              <w:tab w:val="right" w:leader="dot" w:pos="9740"/>
            </w:tabs>
            <w:spacing w:line="305" w:lineRule="auto"/>
            <w:ind w:left="440"/>
            <w:rPr>
              <w:rFonts w:ascii="仿宋" w:eastAsia="仿宋" w:hAnsi="仿宋" w:cs="仿宋"/>
            </w:rPr>
          </w:pPr>
          <w:hyperlink w:anchor="_Toc25854" w:history="1">
            <w:r w:rsidR="003679C0">
              <w:rPr>
                <w:rFonts w:ascii="仿宋" w:eastAsia="仿宋" w:hAnsi="仿宋" w:cs="仿宋" w:hint="eastAsia"/>
                <w:kern w:val="2"/>
                <w:lang w:val="en-US" w:bidi="ar-SA"/>
              </w:rPr>
              <w:t>（四） 工作人员须知</w:t>
            </w:r>
            <w:r w:rsidR="003679C0">
              <w:rPr>
                <w:rFonts w:ascii="仿宋" w:eastAsia="仿宋" w:hAnsi="仿宋" w:cs="仿宋" w:hint="eastAsia"/>
              </w:rPr>
              <w:tab/>
            </w:r>
            <w:r>
              <w:rPr>
                <w:rFonts w:ascii="仿宋" w:eastAsia="仿宋" w:hAnsi="仿宋" w:cs="仿宋" w:hint="eastAsia"/>
              </w:rPr>
              <w:fldChar w:fldCharType="begin"/>
            </w:r>
            <w:r w:rsidR="003679C0">
              <w:rPr>
                <w:rFonts w:ascii="仿宋" w:eastAsia="仿宋" w:hAnsi="仿宋" w:cs="仿宋" w:hint="eastAsia"/>
              </w:rPr>
              <w:instrText xml:space="preserve"> PAGEREF _Toc25854 \h </w:instrText>
            </w:r>
            <w:r>
              <w:rPr>
                <w:rFonts w:ascii="仿宋" w:eastAsia="仿宋" w:hAnsi="仿宋" w:cs="仿宋" w:hint="eastAsia"/>
              </w:rPr>
            </w:r>
            <w:r>
              <w:rPr>
                <w:rFonts w:ascii="仿宋" w:eastAsia="仿宋" w:hAnsi="仿宋" w:cs="仿宋" w:hint="eastAsia"/>
              </w:rPr>
              <w:fldChar w:fldCharType="separate"/>
            </w:r>
            <w:r w:rsidR="003679C0">
              <w:rPr>
                <w:rFonts w:ascii="仿宋" w:eastAsia="仿宋" w:hAnsi="仿宋" w:cs="仿宋" w:hint="eastAsia"/>
              </w:rPr>
              <w:t>14</w:t>
            </w:r>
            <w:r>
              <w:rPr>
                <w:rFonts w:ascii="仿宋" w:eastAsia="仿宋" w:hAnsi="仿宋" w:cs="仿宋" w:hint="eastAsia"/>
              </w:rPr>
              <w:fldChar w:fldCharType="end"/>
            </w:r>
          </w:hyperlink>
        </w:p>
        <w:p w:rsidR="00587E98" w:rsidRDefault="006A67E3">
          <w:pPr>
            <w:spacing w:line="305" w:lineRule="auto"/>
            <w:jc w:val="center"/>
            <w:rPr>
              <w:rFonts w:ascii="黑体" w:eastAsia="黑体" w:hAnsi="黑体" w:cs="黑体"/>
              <w:sz w:val="30"/>
              <w:szCs w:val="30"/>
              <w:lang w:val="en-US"/>
            </w:rPr>
            <w:sectPr w:rsidR="00587E98">
              <w:headerReference w:type="default" r:id="rId8"/>
              <w:footerReference w:type="default" r:id="rId9"/>
              <w:pgSz w:w="11900" w:h="16840"/>
              <w:pgMar w:top="1440" w:right="1080" w:bottom="1440" w:left="1080" w:header="0" w:footer="1172" w:gutter="0"/>
              <w:cols w:space="720"/>
            </w:sectPr>
          </w:pPr>
          <w:r>
            <w:rPr>
              <w:rFonts w:ascii="仿宋" w:eastAsia="仿宋" w:hAnsi="仿宋" w:cs="仿宋" w:hint="eastAsia"/>
              <w:lang w:val="en-US"/>
            </w:rPr>
            <w:fldChar w:fldCharType="end"/>
          </w:r>
        </w:p>
      </w:sdtContent>
    </w:sdt>
    <w:p w:rsidR="00587E98" w:rsidRDefault="003679C0">
      <w:pPr>
        <w:spacing w:line="360" w:lineRule="auto"/>
        <w:jc w:val="center"/>
        <w:outlineLvl w:val="0"/>
        <w:rPr>
          <w:rFonts w:ascii="黑体" w:eastAsia="黑体" w:hAnsi="黑体" w:cs="黑体"/>
          <w:sz w:val="30"/>
          <w:szCs w:val="30"/>
          <w:lang w:val="en-US"/>
        </w:rPr>
      </w:pPr>
      <w:bookmarkStart w:id="0" w:name="_Toc2864"/>
      <w:bookmarkStart w:id="1" w:name="_Toc2384"/>
      <w:bookmarkStart w:id="2" w:name="_Toc30367"/>
      <w:r>
        <w:rPr>
          <w:rFonts w:ascii="黑体" w:eastAsia="黑体" w:hAnsi="黑体" w:cs="黑体" w:hint="eastAsia"/>
          <w:sz w:val="30"/>
          <w:szCs w:val="30"/>
          <w:lang w:val="en-US"/>
        </w:rPr>
        <w:lastRenderedPageBreak/>
        <w:t>2022年全省职业院校技能大赛</w:t>
      </w:r>
      <w:bookmarkEnd w:id="0"/>
      <w:bookmarkEnd w:id="1"/>
      <w:bookmarkEnd w:id="2"/>
    </w:p>
    <w:p w:rsidR="00587E98" w:rsidRDefault="003679C0">
      <w:pPr>
        <w:spacing w:line="360" w:lineRule="auto"/>
        <w:jc w:val="center"/>
        <w:outlineLvl w:val="0"/>
        <w:rPr>
          <w:rFonts w:ascii="黑体" w:eastAsia="黑体" w:hAnsi="黑体" w:cs="黑体"/>
          <w:sz w:val="30"/>
          <w:szCs w:val="30"/>
          <w:lang w:val="en-US"/>
        </w:rPr>
      </w:pPr>
      <w:bookmarkStart w:id="3" w:name="_Toc12562"/>
      <w:bookmarkStart w:id="4" w:name="_Toc4314"/>
      <w:bookmarkStart w:id="5" w:name="_Toc22127"/>
      <w:r>
        <w:rPr>
          <w:rFonts w:ascii="黑体" w:eastAsia="黑体" w:hAnsi="黑体" w:cs="黑体" w:hint="eastAsia"/>
          <w:sz w:val="30"/>
          <w:szCs w:val="30"/>
          <w:lang w:val="en-US"/>
        </w:rPr>
        <w:t>高职学生组土木工程无损检测赛项竞赛规程</w:t>
      </w:r>
      <w:bookmarkEnd w:id="3"/>
      <w:bookmarkEnd w:id="4"/>
      <w:bookmarkEnd w:id="5"/>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6" w:name="_Toc22690"/>
      <w:r>
        <w:rPr>
          <w:rFonts w:ascii="黑体" w:eastAsia="黑体" w:hAnsi="黑体" w:cs="黑体" w:hint="eastAsia"/>
          <w:kern w:val="44"/>
          <w:sz w:val="28"/>
          <w:szCs w:val="28"/>
          <w:lang w:val="en-US" w:bidi="ar-SA"/>
        </w:rPr>
        <w:t>赛项名称</w:t>
      </w:r>
      <w:bookmarkEnd w:id="6"/>
    </w:p>
    <w:p w:rsidR="00587E98" w:rsidRDefault="003679C0">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赛项名称：土木工程无损检测</w:t>
      </w:r>
    </w:p>
    <w:p w:rsidR="00587E98" w:rsidRDefault="003679C0">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赛项归属产业：交通运输类</w:t>
      </w:r>
    </w:p>
    <w:p w:rsidR="00587E98" w:rsidRDefault="003679C0">
      <w:pPr>
        <w:pStyle w:val="a3"/>
        <w:autoSpaceDE/>
        <w:autoSpaceDN/>
        <w:spacing w:line="360" w:lineRule="auto"/>
        <w:ind w:firstLineChars="200" w:firstLine="480"/>
        <w:jc w:val="both"/>
        <w:rPr>
          <w:rFonts w:ascii="仿宋_GB2312" w:eastAsia="仿宋_GB2312" w:hAnsi="仿宋_GB2312" w:cs="仿宋_GB2312"/>
          <w:kern w:val="2"/>
          <w:sz w:val="24"/>
          <w:szCs w:val="24"/>
          <w:lang w:val="en-US" w:bidi="ar-SA"/>
        </w:rPr>
      </w:pPr>
      <w:r>
        <w:rPr>
          <w:rFonts w:ascii="仿宋_GB2312" w:eastAsia="仿宋_GB2312" w:hAnsi="仿宋_GB2312" w:cs="仿宋_GB2312" w:hint="eastAsia"/>
          <w:kern w:val="2"/>
          <w:sz w:val="24"/>
          <w:szCs w:val="24"/>
          <w:lang w:val="en-US" w:bidi="ar-SA"/>
        </w:rPr>
        <w:t>赛项类别：团体赛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该赛项竞赛项目均为实操竞赛，现场根据测试工况，利用相关仪器设备完成相应模型的数据采集、数据分析和结果整理，并提交测试结果提交原始数据、测定结果(图/表)。</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7" w:name="_Toc26643"/>
      <w:r>
        <w:rPr>
          <w:rFonts w:ascii="黑体" w:eastAsia="黑体" w:hAnsi="黑体" w:cs="黑体" w:hint="eastAsia"/>
          <w:kern w:val="44"/>
          <w:sz w:val="28"/>
          <w:szCs w:val="28"/>
          <w:lang w:val="en-US" w:bidi="ar-SA"/>
        </w:rPr>
        <w:t>竞赛目的</w:t>
      </w:r>
      <w:bookmarkEnd w:id="7"/>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sidR="003679C0">
        <w:rPr>
          <w:rFonts w:ascii="仿宋_GB2312" w:eastAsia="仿宋_GB2312" w:hAnsi="仿宋_GB2312" w:cs="仿宋_GB2312" w:hint="eastAsia"/>
          <w:bCs/>
          <w:kern w:val="2"/>
          <w:sz w:val="24"/>
          <w:szCs w:val="24"/>
          <w:lang w:val="en-US" w:bidi="ar-SA"/>
        </w:rPr>
        <w:t>检验实践教学效果，检验学生的实践能力和基础知识的掌握水平，培养学生从事土木工程无损检测方面的实践能力。</w:t>
      </w:r>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sidR="003679C0">
        <w:rPr>
          <w:rFonts w:ascii="仿宋_GB2312" w:eastAsia="仿宋_GB2312" w:hAnsi="仿宋_GB2312" w:cs="仿宋_GB2312" w:hint="eastAsia"/>
          <w:bCs/>
          <w:kern w:val="2"/>
          <w:sz w:val="24"/>
          <w:szCs w:val="24"/>
          <w:lang w:val="en-US" w:bidi="ar-SA"/>
        </w:rPr>
        <w:t>建立我省开设交通运输类专业的高等职业院校交流教学成果与经验的平台，引导我省高等职业院校土木工程无损检测人才培养模式改革与专业建设。</w:t>
      </w:r>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sidR="003679C0">
        <w:rPr>
          <w:rFonts w:ascii="仿宋_GB2312" w:eastAsia="仿宋_GB2312" w:hAnsi="仿宋_GB2312" w:cs="仿宋_GB2312" w:hint="eastAsia"/>
          <w:bCs/>
          <w:kern w:val="2"/>
          <w:sz w:val="24"/>
          <w:szCs w:val="24"/>
          <w:lang w:val="en-US" w:bidi="ar-SA"/>
        </w:rPr>
        <w:t>检查学生对现场问题的分析与处理能力、各参赛院校组织管理与团队协作能力、适应实践需求的应变能力。</w:t>
      </w:r>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sidR="003679C0">
        <w:rPr>
          <w:rFonts w:ascii="仿宋_GB2312" w:eastAsia="仿宋_GB2312" w:hAnsi="仿宋_GB2312" w:cs="仿宋_GB2312" w:hint="eastAsia"/>
          <w:bCs/>
          <w:kern w:val="2"/>
          <w:sz w:val="24"/>
          <w:szCs w:val="24"/>
          <w:lang w:val="en-US" w:bidi="ar-SA"/>
        </w:rPr>
        <w:t>检验和培养学生养成认真细致的业务作风、团队协作的优秀品质、不怕苦、不怕累的工作态度和科学的工作方法。</w:t>
      </w:r>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sidR="003679C0">
        <w:rPr>
          <w:rFonts w:ascii="仿宋_GB2312" w:eastAsia="仿宋_GB2312" w:hAnsi="仿宋_GB2312" w:cs="仿宋_GB2312" w:hint="eastAsia"/>
          <w:bCs/>
          <w:kern w:val="2"/>
          <w:sz w:val="24"/>
          <w:szCs w:val="24"/>
          <w:lang w:val="en-US" w:bidi="ar-SA"/>
        </w:rPr>
        <w:t>将无损检测技能竞赛作为推动土木建筑职业教育教学改革的有力抓手，推进土木建筑职业教育供给侧结构性改革，形成“以赛促教、以赛促学、以赛促建、以赛促改”的良性循环。</w:t>
      </w:r>
    </w:p>
    <w:p w:rsidR="00587E98" w:rsidRDefault="008E233D" w:rsidP="008E233D">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sidR="003679C0">
        <w:rPr>
          <w:rFonts w:ascii="仿宋_GB2312" w:eastAsia="仿宋_GB2312" w:hAnsi="仿宋_GB2312" w:cs="仿宋_GB2312" w:hint="eastAsia"/>
          <w:bCs/>
          <w:kern w:val="2"/>
          <w:sz w:val="24"/>
          <w:szCs w:val="24"/>
          <w:lang w:val="en-US" w:bidi="ar-SA"/>
        </w:rPr>
        <w:t>面向供给促进教师教学与时俱进与变革创新；激发学生学习兴趣，培养科学探究的创新意识，同时促进本科和职业院校实训基础能力建设，进而促进面向供给侧的产教融合、校企合作技能型人才培养模式的变革。</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8" w:name="_Toc18130"/>
      <w:r>
        <w:rPr>
          <w:rFonts w:ascii="黑体" w:eastAsia="黑体" w:hAnsi="黑体" w:cs="黑体" w:hint="eastAsia"/>
          <w:kern w:val="44"/>
          <w:sz w:val="28"/>
          <w:szCs w:val="28"/>
          <w:lang w:val="en-US" w:bidi="ar-SA"/>
        </w:rPr>
        <w:t>竞赛时间、地点</w:t>
      </w:r>
      <w:bookmarkEnd w:id="8"/>
    </w:p>
    <w:p w:rsidR="00587E98" w:rsidRDefault="003679C0">
      <w:pPr>
        <w:pStyle w:val="2"/>
        <w:keepNext/>
        <w:keepLines/>
        <w:numPr>
          <w:ilvl w:val="0"/>
          <w:numId w:val="3"/>
        </w:numPr>
        <w:autoSpaceDE/>
        <w:autoSpaceDN/>
        <w:spacing w:line="360" w:lineRule="auto"/>
        <w:ind w:left="0"/>
        <w:jc w:val="both"/>
        <w:rPr>
          <w:rFonts w:ascii="Arial" w:eastAsia="黑体" w:hAnsi="Arial" w:cstheme="minorBidi"/>
          <w:b/>
          <w:kern w:val="2"/>
          <w:sz w:val="24"/>
          <w:szCs w:val="24"/>
          <w:lang w:val="en-US" w:bidi="ar-SA"/>
        </w:rPr>
      </w:pPr>
      <w:bookmarkStart w:id="9" w:name="_Toc21968"/>
      <w:r>
        <w:rPr>
          <w:rFonts w:ascii="Arial" w:eastAsia="黑体" w:hAnsi="Arial" w:cstheme="minorBidi" w:hint="eastAsia"/>
          <w:b/>
          <w:kern w:val="2"/>
          <w:sz w:val="24"/>
          <w:szCs w:val="24"/>
          <w:lang w:val="en-US" w:bidi="ar-SA"/>
        </w:rPr>
        <w:t>竞赛时间</w:t>
      </w:r>
      <w:bookmarkEnd w:id="9"/>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2022年</w:t>
      </w:r>
      <w:r w:rsidRPr="009B722E">
        <w:rPr>
          <w:rFonts w:ascii="仿宋_GB2312" w:eastAsia="仿宋_GB2312" w:hAnsi="仿宋_GB2312" w:cs="仿宋_GB2312" w:hint="eastAsia"/>
          <w:bCs/>
          <w:kern w:val="2"/>
          <w:sz w:val="24"/>
          <w:szCs w:val="24"/>
          <w:lang w:val="en-US" w:bidi="ar-SA"/>
        </w:rPr>
        <w:t>3月29日报到，2022年3月30日竞赛，混</w:t>
      </w:r>
      <w:r>
        <w:rPr>
          <w:rFonts w:ascii="仿宋_GB2312" w:eastAsia="仿宋_GB2312" w:hAnsi="仿宋_GB2312" w:cs="仿宋_GB2312" w:hint="eastAsia"/>
          <w:bCs/>
          <w:kern w:val="2"/>
          <w:sz w:val="24"/>
          <w:szCs w:val="24"/>
          <w:lang w:val="en-US" w:bidi="ar-SA"/>
        </w:rPr>
        <w:t>凝土裂缝深度测定、锚杆长度测定、</w:t>
      </w:r>
      <w:r>
        <w:rPr>
          <w:rFonts w:ascii="仿宋_GB2312" w:eastAsia="仿宋_GB2312" w:hAnsi="仿宋_GB2312" w:cs="仿宋_GB2312" w:hint="eastAsia"/>
          <w:bCs/>
          <w:kern w:val="2"/>
          <w:sz w:val="24"/>
          <w:szCs w:val="24"/>
          <w:lang w:val="en-US" w:bidi="ar-SA"/>
        </w:rPr>
        <w:lastRenderedPageBreak/>
        <w:t>钢筋位置及保护层厚度测定合计用时60分钟。</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所有参赛队伍通过抽签确定参赛队伍编号，具体安排见表3-1。</w:t>
      </w:r>
    </w:p>
    <w:p w:rsidR="00587E98" w:rsidRDefault="003679C0" w:rsidP="00FB155A">
      <w:pPr>
        <w:spacing w:beforeLines="50" w:afterLines="50" w:line="307" w:lineRule="auto"/>
        <w:jc w:val="center"/>
        <w:rPr>
          <w:rFonts w:ascii="仿宋_GB2312" w:eastAsia="仿宋_GB2312" w:hAnsi="仿宋_GB2312" w:cs="仿宋_GB2312"/>
          <w:b/>
          <w:kern w:val="2"/>
          <w:sz w:val="24"/>
          <w:szCs w:val="24"/>
          <w:lang w:val="en-US" w:bidi="ar-SA"/>
        </w:rPr>
      </w:pPr>
      <w:r>
        <w:rPr>
          <w:rFonts w:ascii="仿宋_GB2312" w:eastAsia="仿宋_GB2312" w:hAnsi="仿宋_GB2312" w:cs="仿宋_GB2312" w:hint="eastAsia"/>
          <w:b/>
          <w:kern w:val="2"/>
          <w:sz w:val="24"/>
          <w:szCs w:val="24"/>
          <w:lang w:val="en-US" w:bidi="ar-SA"/>
        </w:rPr>
        <w:t>表3-1  竞赛场次安排表</w:t>
      </w:r>
    </w:p>
    <w:tbl>
      <w:tblPr>
        <w:tblStyle w:val="a7"/>
        <w:tblW w:w="4414" w:type="pct"/>
        <w:tblInd w:w="534" w:type="dxa"/>
        <w:tblLook w:val="04A0"/>
      </w:tblPr>
      <w:tblGrid>
        <w:gridCol w:w="1843"/>
        <w:gridCol w:w="2127"/>
        <w:gridCol w:w="1847"/>
        <w:gridCol w:w="2972"/>
      </w:tblGrid>
      <w:tr w:rsidR="00587E98" w:rsidTr="003545E4">
        <w:trPr>
          <w:trHeight w:val="454"/>
        </w:trPr>
        <w:tc>
          <w:tcPr>
            <w:tcW w:w="1048"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时间</w:t>
            </w:r>
          </w:p>
        </w:tc>
        <w:tc>
          <w:tcPr>
            <w:tcW w:w="1210"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裂缝深度测定</w:t>
            </w:r>
          </w:p>
        </w:tc>
        <w:tc>
          <w:tcPr>
            <w:tcW w:w="1051"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锚杆长度测定</w:t>
            </w:r>
          </w:p>
        </w:tc>
        <w:tc>
          <w:tcPr>
            <w:tcW w:w="1692"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钢筋位置及保护层厚度测定</w:t>
            </w:r>
          </w:p>
        </w:tc>
      </w:tr>
      <w:tr w:rsidR="00587E98" w:rsidTr="003545E4">
        <w:trPr>
          <w:trHeight w:val="454"/>
        </w:trPr>
        <w:tc>
          <w:tcPr>
            <w:tcW w:w="1048"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8:30</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11:30</w:t>
            </w:r>
          </w:p>
        </w:tc>
        <w:tc>
          <w:tcPr>
            <w:tcW w:w="1210" w:type="pct"/>
            <w:vAlign w:val="center"/>
          </w:tcPr>
          <w:p w:rsidR="00587E98" w:rsidRPr="003545E4" w:rsidRDefault="003679C0" w:rsidP="004D7EE6">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1</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w:t>
            </w:r>
            <w:r w:rsidR="004D7EE6">
              <w:rPr>
                <w:rFonts w:ascii="仿宋_GB2312" w:eastAsia="仿宋_GB2312" w:hAnsi="仿宋_GB2312" w:cs="仿宋_GB2312" w:hint="eastAsia"/>
                <w:bCs/>
                <w:kern w:val="2"/>
                <w:sz w:val="21"/>
                <w:szCs w:val="21"/>
                <w:lang w:val="en-US" w:bidi="ar-SA"/>
              </w:rPr>
              <w:t>6</w:t>
            </w:r>
          </w:p>
        </w:tc>
        <w:tc>
          <w:tcPr>
            <w:tcW w:w="1051"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c>
          <w:tcPr>
            <w:tcW w:w="1692"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r>
      <w:tr w:rsidR="00587E98" w:rsidTr="003545E4">
        <w:trPr>
          <w:trHeight w:val="454"/>
        </w:trPr>
        <w:tc>
          <w:tcPr>
            <w:tcW w:w="1048"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13:00</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15:30</w:t>
            </w:r>
          </w:p>
        </w:tc>
        <w:tc>
          <w:tcPr>
            <w:tcW w:w="1210"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c>
          <w:tcPr>
            <w:tcW w:w="1051" w:type="pct"/>
            <w:vAlign w:val="center"/>
          </w:tcPr>
          <w:p w:rsidR="00587E98" w:rsidRPr="003545E4" w:rsidRDefault="003679C0" w:rsidP="004D7EE6">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1</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w:t>
            </w:r>
            <w:r w:rsidR="004D7EE6">
              <w:rPr>
                <w:rFonts w:ascii="仿宋_GB2312" w:eastAsia="仿宋_GB2312" w:hAnsi="仿宋_GB2312" w:cs="仿宋_GB2312" w:hint="eastAsia"/>
                <w:bCs/>
                <w:kern w:val="2"/>
                <w:sz w:val="21"/>
                <w:szCs w:val="21"/>
                <w:lang w:val="en-US" w:bidi="ar-SA"/>
              </w:rPr>
              <w:t>6</w:t>
            </w:r>
          </w:p>
        </w:tc>
        <w:tc>
          <w:tcPr>
            <w:tcW w:w="1692"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r>
      <w:tr w:rsidR="00587E98" w:rsidTr="003545E4">
        <w:trPr>
          <w:trHeight w:val="454"/>
        </w:trPr>
        <w:tc>
          <w:tcPr>
            <w:tcW w:w="1048"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15:30</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18：00</w:t>
            </w:r>
          </w:p>
        </w:tc>
        <w:tc>
          <w:tcPr>
            <w:tcW w:w="1210"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c>
          <w:tcPr>
            <w:tcW w:w="1051" w:type="pct"/>
            <w:vAlign w:val="center"/>
          </w:tcPr>
          <w:p w:rsidR="00587E98" w:rsidRPr="003545E4" w:rsidRDefault="003679C0">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轮空</w:t>
            </w:r>
          </w:p>
        </w:tc>
        <w:tc>
          <w:tcPr>
            <w:tcW w:w="1692" w:type="pct"/>
            <w:vAlign w:val="center"/>
          </w:tcPr>
          <w:p w:rsidR="00587E98" w:rsidRPr="003545E4" w:rsidRDefault="003679C0" w:rsidP="004D7EE6">
            <w:pPr>
              <w:autoSpaceDE/>
              <w:autoSpaceDN/>
              <w:jc w:val="center"/>
              <w:rPr>
                <w:rFonts w:ascii="仿宋_GB2312" w:eastAsia="仿宋_GB2312" w:hAnsi="仿宋_GB2312" w:cs="仿宋_GB2312"/>
                <w:bCs/>
                <w:kern w:val="2"/>
                <w:sz w:val="21"/>
                <w:szCs w:val="21"/>
                <w:lang w:val="en-US" w:bidi="ar-SA"/>
              </w:rPr>
            </w:pPr>
            <w:r w:rsidRPr="003545E4">
              <w:rPr>
                <w:rFonts w:ascii="仿宋_GB2312" w:eastAsia="仿宋_GB2312" w:hAnsi="仿宋_GB2312" w:cs="仿宋_GB2312" w:hint="eastAsia"/>
                <w:bCs/>
                <w:kern w:val="2"/>
                <w:sz w:val="21"/>
                <w:szCs w:val="21"/>
                <w:lang w:val="en-US" w:bidi="ar-SA"/>
              </w:rPr>
              <w:t>1</w:t>
            </w:r>
            <w:r w:rsidRPr="003545E4">
              <w:rPr>
                <w:rFonts w:ascii="宋体" w:eastAsia="宋体" w:hAnsi="宋体" w:cs="宋体" w:hint="eastAsia"/>
                <w:bCs/>
                <w:kern w:val="2"/>
                <w:sz w:val="21"/>
                <w:szCs w:val="21"/>
                <w:lang w:val="en-US" w:bidi="ar-SA"/>
              </w:rPr>
              <w:t>～</w:t>
            </w:r>
            <w:r w:rsidRPr="003545E4">
              <w:rPr>
                <w:rFonts w:ascii="仿宋_GB2312" w:eastAsia="仿宋_GB2312" w:hAnsi="仿宋_GB2312" w:cs="仿宋_GB2312" w:hint="eastAsia"/>
                <w:bCs/>
                <w:kern w:val="2"/>
                <w:sz w:val="21"/>
                <w:szCs w:val="21"/>
                <w:lang w:val="en-US" w:bidi="ar-SA"/>
              </w:rPr>
              <w:t>1</w:t>
            </w:r>
            <w:r w:rsidR="004D7EE6">
              <w:rPr>
                <w:rFonts w:ascii="仿宋_GB2312" w:eastAsia="仿宋_GB2312" w:hAnsi="仿宋_GB2312" w:cs="仿宋_GB2312" w:hint="eastAsia"/>
                <w:bCs/>
                <w:kern w:val="2"/>
                <w:sz w:val="21"/>
                <w:szCs w:val="21"/>
                <w:lang w:val="en-US" w:bidi="ar-SA"/>
              </w:rPr>
              <w:t>6</w:t>
            </w:r>
          </w:p>
        </w:tc>
      </w:tr>
    </w:tbl>
    <w:p w:rsidR="00587E98" w:rsidRDefault="003679C0" w:rsidP="00FB155A">
      <w:pPr>
        <w:autoSpaceDE/>
        <w:autoSpaceDN/>
        <w:spacing w:beforeLines="50" w:line="360" w:lineRule="auto"/>
        <w:ind w:firstLineChars="200" w:firstLine="482"/>
        <w:jc w:val="both"/>
        <w:rPr>
          <w:b/>
          <w:kern w:val="2"/>
          <w:sz w:val="24"/>
          <w:szCs w:val="24"/>
          <w:lang w:val="en-US" w:bidi="ar-SA"/>
        </w:rPr>
      </w:pPr>
      <w:r>
        <w:rPr>
          <w:rFonts w:hint="eastAsia"/>
          <w:b/>
          <w:kern w:val="2"/>
          <w:sz w:val="24"/>
          <w:szCs w:val="24"/>
          <w:lang w:val="en-US" w:bidi="ar-SA"/>
        </w:rPr>
        <w:t>注：学生组1</w:t>
      </w:r>
      <w:r w:rsidR="004D7EE6">
        <w:rPr>
          <w:rFonts w:hint="eastAsia"/>
          <w:b/>
          <w:kern w:val="2"/>
          <w:sz w:val="24"/>
          <w:szCs w:val="24"/>
          <w:lang w:val="en-US" w:bidi="ar-SA"/>
        </w:rPr>
        <w:t>6</w:t>
      </w:r>
      <w:r>
        <w:rPr>
          <w:rFonts w:hint="eastAsia"/>
          <w:b/>
          <w:kern w:val="2"/>
          <w:sz w:val="24"/>
          <w:szCs w:val="24"/>
          <w:lang w:val="en-US" w:bidi="ar-SA"/>
        </w:rPr>
        <w:t>组。</w:t>
      </w:r>
    </w:p>
    <w:p w:rsidR="00587E98" w:rsidRDefault="003679C0">
      <w:pPr>
        <w:pStyle w:val="2"/>
        <w:keepNext/>
        <w:keepLines/>
        <w:numPr>
          <w:ilvl w:val="0"/>
          <w:numId w:val="3"/>
        </w:numPr>
        <w:autoSpaceDE/>
        <w:autoSpaceDN/>
        <w:spacing w:line="360" w:lineRule="auto"/>
        <w:ind w:left="0"/>
        <w:jc w:val="both"/>
        <w:rPr>
          <w:rFonts w:ascii="Arial" w:eastAsia="黑体" w:hAnsi="Arial" w:cstheme="minorBidi"/>
          <w:b/>
          <w:kern w:val="2"/>
          <w:sz w:val="24"/>
          <w:szCs w:val="24"/>
          <w:lang w:val="en-US" w:bidi="ar-SA"/>
        </w:rPr>
      </w:pPr>
      <w:bookmarkStart w:id="10" w:name="_Toc28631"/>
      <w:r>
        <w:rPr>
          <w:rFonts w:ascii="Arial" w:eastAsia="黑体" w:hAnsi="Arial" w:cstheme="minorBidi" w:hint="eastAsia"/>
          <w:b/>
          <w:kern w:val="2"/>
          <w:sz w:val="24"/>
          <w:szCs w:val="24"/>
          <w:lang w:val="en-US" w:bidi="ar-SA"/>
        </w:rPr>
        <w:t>竞赛地点</w:t>
      </w:r>
      <w:bookmarkEnd w:id="10"/>
    </w:p>
    <w:p w:rsidR="00587E98" w:rsidRPr="003545E4"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sidRPr="003545E4">
        <w:rPr>
          <w:rFonts w:ascii="仿宋_GB2312" w:eastAsia="仿宋_GB2312" w:hAnsi="仿宋_GB2312" w:cs="仿宋_GB2312" w:hint="eastAsia"/>
          <w:bCs/>
          <w:kern w:val="2"/>
          <w:sz w:val="24"/>
          <w:szCs w:val="24"/>
          <w:lang w:val="en-US" w:bidi="ar-SA"/>
        </w:rPr>
        <w:t>甘肃交通职业技术学院</w:t>
      </w:r>
      <w:r w:rsidR="003545E4" w:rsidRPr="003545E4">
        <w:rPr>
          <w:rFonts w:ascii="仿宋_GB2312" w:eastAsia="仿宋_GB2312" w:hAnsi="仿宋_GB2312" w:cs="仿宋_GB2312" w:hint="eastAsia"/>
          <w:bCs/>
          <w:kern w:val="2"/>
          <w:sz w:val="24"/>
          <w:szCs w:val="24"/>
          <w:lang w:val="en-US" w:bidi="ar-SA"/>
        </w:rPr>
        <w:t>（兰州市安宁区邱家湾128号）</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1" w:name="_Toc12976"/>
      <w:r>
        <w:rPr>
          <w:rFonts w:ascii="黑体" w:eastAsia="黑体" w:hAnsi="黑体" w:cs="黑体" w:hint="eastAsia"/>
          <w:kern w:val="44"/>
          <w:sz w:val="28"/>
          <w:szCs w:val="28"/>
          <w:lang w:val="en-US" w:bidi="ar-SA"/>
        </w:rPr>
        <w:t>竞赛内容</w:t>
      </w:r>
      <w:bookmarkEnd w:id="11"/>
    </w:p>
    <w:p w:rsidR="00587E98" w:rsidRDefault="003679C0">
      <w:pPr>
        <w:pStyle w:val="2"/>
        <w:keepNext/>
        <w:keepLines/>
        <w:numPr>
          <w:ilvl w:val="0"/>
          <w:numId w:val="4"/>
        </w:numPr>
        <w:autoSpaceDE/>
        <w:autoSpaceDN/>
        <w:spacing w:line="360" w:lineRule="auto"/>
        <w:ind w:left="0"/>
        <w:jc w:val="both"/>
        <w:rPr>
          <w:rFonts w:ascii="Arial" w:eastAsia="黑体" w:hAnsi="Arial" w:cstheme="minorBidi"/>
          <w:b/>
          <w:kern w:val="2"/>
          <w:sz w:val="24"/>
          <w:szCs w:val="24"/>
          <w:lang w:val="en-US" w:bidi="ar-SA"/>
        </w:rPr>
      </w:pPr>
      <w:bookmarkStart w:id="12" w:name="_Toc17803"/>
      <w:r>
        <w:rPr>
          <w:rFonts w:ascii="Arial" w:eastAsia="黑体" w:hAnsi="Arial" w:cstheme="minorBidi" w:hint="eastAsia"/>
          <w:b/>
          <w:kern w:val="2"/>
          <w:sz w:val="24"/>
          <w:szCs w:val="24"/>
          <w:lang w:val="en-US" w:bidi="ar-SA"/>
        </w:rPr>
        <w:t>竞赛内容</w:t>
      </w:r>
      <w:bookmarkEnd w:id="12"/>
    </w:p>
    <w:p w:rsidR="00587E98" w:rsidRDefault="003679C0">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本次大赛竞赛内容为混凝土裂缝深度测定、锚杆长度测定、钢筋位置及保护层厚度测定，大赛内容包括：</w:t>
      </w:r>
    </w:p>
    <w:p w:rsidR="00587E98" w:rsidRDefault="003679C0">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（1）混凝土裂缝深度测定：利用混凝土裂缝竞赛模型完成“裂缝深度”检测，每队测试两条裂缝深度，具体包括完成相应的波速标定、数据采集、数据分析和结果整理，并提交测试结果。</w:t>
      </w:r>
    </w:p>
    <w:p w:rsidR="00587E98" w:rsidRDefault="003679C0">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（2）锚杆长度测定：针对测试对象，完成波速标定、数据采集、数据分析和结果整理，并提交相应的测试结果。</w:t>
      </w:r>
    </w:p>
    <w:p w:rsidR="00587E98" w:rsidRDefault="003679C0">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（3）钢筋位置及保护层厚度测定：针对给定的模拟钢筋混凝土结构，完成钢筋位置及保护层厚度测定，进行相应的数据分析和结果整理，并提交相应的测试结果。</w:t>
      </w:r>
    </w:p>
    <w:p w:rsidR="00587E98" w:rsidRDefault="003679C0" w:rsidP="00FB155A">
      <w:pPr>
        <w:spacing w:beforeLines="50" w:afterLines="50" w:line="307" w:lineRule="auto"/>
        <w:jc w:val="center"/>
        <w:rPr>
          <w:rFonts w:ascii="Times New Roman" w:hAnsi="Times New Roman" w:cs="Times New Roman"/>
          <w:b/>
          <w:bCs/>
          <w:sz w:val="24"/>
        </w:rPr>
      </w:pPr>
      <w:r>
        <w:rPr>
          <w:rFonts w:ascii="仿宋_GB2312" w:eastAsia="仿宋_GB2312" w:hAnsi="仿宋_GB2312" w:cs="仿宋_GB2312" w:hint="eastAsia"/>
          <w:b/>
          <w:kern w:val="2"/>
          <w:sz w:val="24"/>
          <w:szCs w:val="24"/>
          <w:lang w:val="en-US" w:bidi="ar-SA"/>
        </w:rPr>
        <w:t>表4-1  无损检测技能大赛竞赛内容、时间与权重表</w:t>
      </w:r>
    </w:p>
    <w:tbl>
      <w:tblPr>
        <w:tblStyle w:val="a7"/>
        <w:tblW w:w="9137" w:type="dxa"/>
        <w:jc w:val="center"/>
        <w:tblLayout w:type="fixed"/>
        <w:tblLook w:val="04A0"/>
      </w:tblPr>
      <w:tblGrid>
        <w:gridCol w:w="708"/>
        <w:gridCol w:w="2447"/>
        <w:gridCol w:w="1151"/>
        <w:gridCol w:w="1351"/>
        <w:gridCol w:w="1187"/>
        <w:gridCol w:w="2293"/>
      </w:tblGrid>
      <w:tr w:rsidR="00587E98">
        <w:trPr>
          <w:trHeight w:val="715"/>
          <w:jc w:val="center"/>
        </w:trPr>
        <w:tc>
          <w:tcPr>
            <w:tcW w:w="708"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序号</w:t>
            </w:r>
          </w:p>
        </w:tc>
        <w:tc>
          <w:tcPr>
            <w:tcW w:w="2447"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项目名称</w:t>
            </w:r>
          </w:p>
        </w:tc>
        <w:tc>
          <w:tcPr>
            <w:tcW w:w="1151"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竞赛</w:t>
            </w:r>
          </w:p>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用时</w:t>
            </w:r>
          </w:p>
        </w:tc>
        <w:tc>
          <w:tcPr>
            <w:tcW w:w="1351"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参赛模式</w:t>
            </w:r>
          </w:p>
        </w:tc>
        <w:tc>
          <w:tcPr>
            <w:tcW w:w="1187"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所占权重（%）</w:t>
            </w:r>
          </w:p>
        </w:tc>
        <w:tc>
          <w:tcPr>
            <w:tcW w:w="2293" w:type="dxa"/>
            <w:shd w:val="clear" w:color="auto" w:fill="auto"/>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备注</w:t>
            </w:r>
          </w:p>
        </w:tc>
      </w:tr>
      <w:tr w:rsidR="00587E98">
        <w:trPr>
          <w:trHeight w:val="715"/>
          <w:jc w:val="center"/>
        </w:trPr>
        <w:tc>
          <w:tcPr>
            <w:tcW w:w="708"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1</w:t>
            </w:r>
          </w:p>
        </w:tc>
        <w:tc>
          <w:tcPr>
            <w:tcW w:w="244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混凝土裂缝深度测定</w:t>
            </w:r>
          </w:p>
        </w:tc>
        <w:tc>
          <w:tcPr>
            <w:tcW w:w="11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20分钟</w:t>
            </w:r>
          </w:p>
        </w:tc>
        <w:tc>
          <w:tcPr>
            <w:tcW w:w="13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30</w:t>
            </w:r>
          </w:p>
        </w:tc>
        <w:tc>
          <w:tcPr>
            <w:tcW w:w="2293"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完成指定两条裂缝深度测定</w:t>
            </w:r>
          </w:p>
        </w:tc>
      </w:tr>
      <w:tr w:rsidR="00587E98">
        <w:trPr>
          <w:trHeight w:val="715"/>
          <w:jc w:val="center"/>
        </w:trPr>
        <w:tc>
          <w:tcPr>
            <w:tcW w:w="708"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w:t>
            </w:r>
          </w:p>
        </w:tc>
        <w:tc>
          <w:tcPr>
            <w:tcW w:w="244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锚杆长度测定</w:t>
            </w:r>
          </w:p>
        </w:tc>
        <w:tc>
          <w:tcPr>
            <w:tcW w:w="11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20分钟</w:t>
            </w:r>
          </w:p>
        </w:tc>
        <w:tc>
          <w:tcPr>
            <w:tcW w:w="13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30</w:t>
            </w:r>
          </w:p>
        </w:tc>
        <w:tc>
          <w:tcPr>
            <w:tcW w:w="2293" w:type="dxa"/>
            <w:vAlign w:val="center"/>
          </w:tcPr>
          <w:p w:rsidR="00587E98" w:rsidRDefault="00587E98">
            <w:pPr>
              <w:autoSpaceDE/>
              <w:autoSpaceDN/>
              <w:jc w:val="center"/>
              <w:rPr>
                <w:rFonts w:ascii="仿宋_GB2312" w:eastAsia="仿宋_GB2312" w:hAnsi="仿宋_GB2312" w:cs="仿宋_GB2312"/>
                <w:bCs/>
                <w:kern w:val="2"/>
                <w:sz w:val="21"/>
                <w:szCs w:val="21"/>
                <w:lang w:val="en-US" w:bidi="ar-SA"/>
              </w:rPr>
            </w:pPr>
          </w:p>
        </w:tc>
      </w:tr>
      <w:tr w:rsidR="00587E98">
        <w:trPr>
          <w:trHeight w:val="715"/>
          <w:jc w:val="center"/>
        </w:trPr>
        <w:tc>
          <w:tcPr>
            <w:tcW w:w="708"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lastRenderedPageBreak/>
              <w:t>3</w:t>
            </w:r>
          </w:p>
        </w:tc>
        <w:tc>
          <w:tcPr>
            <w:tcW w:w="244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钢筋位置与保护层厚度测定</w:t>
            </w:r>
          </w:p>
        </w:tc>
        <w:tc>
          <w:tcPr>
            <w:tcW w:w="11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20分钟</w:t>
            </w:r>
          </w:p>
        </w:tc>
        <w:tc>
          <w:tcPr>
            <w:tcW w:w="1351"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整队参赛</w:t>
            </w:r>
          </w:p>
        </w:tc>
        <w:tc>
          <w:tcPr>
            <w:tcW w:w="1187" w:type="dxa"/>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40</w:t>
            </w:r>
          </w:p>
        </w:tc>
        <w:tc>
          <w:tcPr>
            <w:tcW w:w="2293" w:type="dxa"/>
            <w:vAlign w:val="center"/>
          </w:tcPr>
          <w:p w:rsidR="00587E98" w:rsidRDefault="00587E98">
            <w:pPr>
              <w:autoSpaceDE/>
              <w:autoSpaceDN/>
              <w:jc w:val="center"/>
              <w:rPr>
                <w:rFonts w:ascii="仿宋_GB2312" w:eastAsia="仿宋_GB2312" w:hAnsi="仿宋_GB2312" w:cs="仿宋_GB2312"/>
                <w:bCs/>
                <w:kern w:val="2"/>
                <w:sz w:val="21"/>
                <w:szCs w:val="21"/>
                <w:lang w:val="en-US" w:bidi="ar-SA"/>
              </w:rPr>
            </w:pPr>
          </w:p>
        </w:tc>
      </w:tr>
    </w:tbl>
    <w:p w:rsidR="00587E98" w:rsidRDefault="00587E98">
      <w:pPr>
        <w:snapToGrid w:val="0"/>
        <w:spacing w:line="360" w:lineRule="auto"/>
        <w:ind w:firstLineChars="200" w:firstLine="560"/>
        <w:jc w:val="both"/>
        <w:rPr>
          <w:rFonts w:ascii="Times New Roman" w:hAnsi="Times New Roman" w:cs="仿宋_GB2312"/>
          <w:sz w:val="28"/>
          <w:szCs w:val="30"/>
          <w:lang w:val="en-US"/>
        </w:rPr>
      </w:pPr>
    </w:p>
    <w:p w:rsidR="00587E98" w:rsidRDefault="003679C0">
      <w:pPr>
        <w:pStyle w:val="2"/>
        <w:keepNext/>
        <w:keepLines/>
        <w:numPr>
          <w:ilvl w:val="0"/>
          <w:numId w:val="4"/>
        </w:numPr>
        <w:autoSpaceDE/>
        <w:autoSpaceDN/>
        <w:spacing w:line="360" w:lineRule="auto"/>
        <w:ind w:left="0"/>
        <w:jc w:val="both"/>
        <w:rPr>
          <w:rFonts w:ascii="Arial" w:eastAsia="黑体" w:hAnsi="Arial" w:cstheme="minorBidi"/>
          <w:b/>
          <w:kern w:val="2"/>
          <w:sz w:val="24"/>
          <w:szCs w:val="24"/>
          <w:lang w:val="en-US" w:bidi="ar-SA"/>
        </w:rPr>
      </w:pPr>
      <w:bookmarkStart w:id="13" w:name="_Toc4149"/>
      <w:r>
        <w:rPr>
          <w:rFonts w:ascii="Arial" w:eastAsia="黑体" w:hAnsi="Arial" w:cstheme="minorBidi" w:hint="eastAsia"/>
          <w:b/>
          <w:kern w:val="2"/>
          <w:sz w:val="24"/>
          <w:szCs w:val="24"/>
          <w:lang w:val="en-US" w:bidi="ar-SA"/>
        </w:rPr>
        <w:t>竞赛要求</w:t>
      </w:r>
      <w:bookmarkEnd w:id="13"/>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sidR="003679C0">
        <w:rPr>
          <w:rFonts w:ascii="仿宋_GB2312" w:eastAsia="仿宋_GB2312" w:hAnsi="仿宋_GB2312" w:cs="仿宋_GB2312" w:hint="eastAsia"/>
          <w:bCs/>
          <w:kern w:val="2"/>
          <w:sz w:val="24"/>
          <w:szCs w:val="24"/>
          <w:lang w:val="en-US" w:bidi="ar-SA"/>
        </w:rPr>
        <w:t>参赛选手应严格遵守赛场纪律，服从指挥，仪表端庄整洁，自觉遵守赛场纪律，服从赛项组委会的指挥和安排，爱护大赛场地的设备和器材。选手必须佩带参赛证提前30分钟进入大赛场地，比赛场地通过抽签决定，对号入座。</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2）参赛队在赛前10分钟领取比赛任务单并进入比赛工位，比赛正式开始后方可进行相关操作。</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3）现场裁判核对参赛选手资格，宣读《大赛规则》和《选手须知》。</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比赛过程中，选手须严格遵守操作规程，确保人身及设备安全，并接受裁判员的监督和指示，如遇问题须举手向裁判人员提问。若因选手原因造成设备故障或损坏而无法继续比赛的，裁判长有权决定终止该队比赛；若非因选手个人原因造成设备故障的，必须经现场裁判确认予以解决；故障中断时间不计时。</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5）参赛选手在比赛过程中不得擅自离开赛场，如有特殊情况，须经现场裁判同意后作特殊处理。</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6）当听到比赛结束命令时，参赛选手应立即停止所有操作，不得以任何理由拖延比赛时间。比赛结束（或提前完成）后，参赛队要确认已成功提交竞赛要求的配置文件和文档，并在相关文件上签字确认后离场。</w:t>
      </w:r>
    </w:p>
    <w:p w:rsidR="00587E98" w:rsidRDefault="003679C0">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7）竞赛所需的硬件、软件和辅助工具统一提供，参赛队不得使用自带的任何有存储功能的设备，如硬盘、光盘、U盘、手机、手环等。离开赛场时，不得将与比赛有关的物品带离现场。</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4" w:name="_Toc9779"/>
      <w:r>
        <w:rPr>
          <w:rFonts w:ascii="黑体" w:eastAsia="黑体" w:hAnsi="黑体" w:cs="黑体" w:hint="eastAsia"/>
          <w:kern w:val="44"/>
          <w:sz w:val="28"/>
          <w:szCs w:val="28"/>
          <w:lang w:val="en-US" w:bidi="ar-SA"/>
        </w:rPr>
        <w:t>竞赛方式</w:t>
      </w:r>
      <w:bookmarkEnd w:id="14"/>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sidR="003679C0">
        <w:rPr>
          <w:rFonts w:ascii="仿宋_GB2312" w:eastAsia="仿宋_GB2312" w:hAnsi="仿宋_GB2312" w:cs="仿宋_GB2312" w:hint="eastAsia"/>
          <w:bCs/>
          <w:kern w:val="2"/>
          <w:sz w:val="24"/>
          <w:szCs w:val="24"/>
          <w:lang w:val="en-US" w:bidi="ar-SA"/>
        </w:rPr>
        <w:t>本次竞赛为团体赛，竞赛规模代表队合计学生组</w:t>
      </w:r>
      <w:r>
        <w:rPr>
          <w:rFonts w:ascii="仿宋_GB2312" w:eastAsia="仿宋_GB2312" w:hAnsi="仿宋_GB2312" w:cs="仿宋_GB2312" w:hint="eastAsia"/>
          <w:bCs/>
          <w:kern w:val="2"/>
          <w:sz w:val="24"/>
          <w:szCs w:val="24"/>
          <w:lang w:val="en-US" w:bidi="ar-SA"/>
        </w:rPr>
        <w:t>16</w:t>
      </w:r>
      <w:r w:rsidR="003679C0">
        <w:rPr>
          <w:rFonts w:ascii="仿宋_GB2312" w:eastAsia="仿宋_GB2312" w:hAnsi="仿宋_GB2312" w:cs="仿宋_GB2312" w:hint="eastAsia"/>
          <w:bCs/>
          <w:kern w:val="2"/>
          <w:sz w:val="24"/>
          <w:szCs w:val="24"/>
          <w:lang w:val="en-US" w:bidi="ar-SA"/>
        </w:rPr>
        <w:t>个。凡开设交通运输类、土建施工、水利专业及相关专业的职业院校均可在本省（自治区、直辖市）报名。</w:t>
      </w:r>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w:t>
      </w:r>
      <w:r w:rsidR="003679C0">
        <w:rPr>
          <w:rFonts w:ascii="仿宋_GB2312" w:eastAsia="仿宋_GB2312" w:hAnsi="仿宋_GB2312" w:cs="仿宋_GB2312" w:hint="eastAsia"/>
          <w:bCs/>
          <w:kern w:val="2"/>
          <w:sz w:val="24"/>
          <w:szCs w:val="24"/>
          <w:lang w:val="en-US" w:bidi="ar-SA"/>
        </w:rPr>
        <w:t>大赛各赛项均为团队赛，以院校为单位组队参赛，不得跨校组队。每所院校最多可以组织3支参赛队，每支参赛队由2名选手（设队长1名）和1-2名指导教师组成。所有参赛院校每支参赛队必须参加所有竞赛项目。</w:t>
      </w:r>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w:t>
      </w:r>
      <w:r w:rsidR="003679C0">
        <w:rPr>
          <w:rFonts w:ascii="仿宋_GB2312" w:eastAsia="仿宋_GB2312" w:hAnsi="仿宋_GB2312" w:cs="仿宋_GB2312" w:hint="eastAsia"/>
          <w:bCs/>
          <w:kern w:val="2"/>
          <w:sz w:val="24"/>
          <w:szCs w:val="24"/>
          <w:lang w:val="en-US" w:bidi="ar-SA"/>
        </w:rPr>
        <w:t>参赛选手为高等职业院校土建工程类全日制在籍学生；高职院校外国留学生可申请参</w:t>
      </w:r>
      <w:r w:rsidR="003679C0">
        <w:rPr>
          <w:rFonts w:ascii="仿宋_GB2312" w:eastAsia="仿宋_GB2312" w:hAnsi="仿宋_GB2312" w:cs="仿宋_GB2312" w:hint="eastAsia"/>
          <w:bCs/>
          <w:kern w:val="2"/>
          <w:sz w:val="24"/>
          <w:szCs w:val="24"/>
          <w:lang w:val="en-US" w:bidi="ar-SA"/>
        </w:rPr>
        <w:lastRenderedPageBreak/>
        <w:t>赛，但每个职业院校限报1个队。</w:t>
      </w:r>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w:t>
      </w:r>
      <w:r w:rsidR="003679C0">
        <w:rPr>
          <w:rFonts w:ascii="仿宋_GB2312" w:eastAsia="仿宋_GB2312" w:hAnsi="仿宋_GB2312" w:cs="仿宋_GB2312" w:hint="eastAsia"/>
          <w:bCs/>
          <w:kern w:val="2"/>
          <w:sz w:val="24"/>
          <w:szCs w:val="24"/>
          <w:lang w:val="en-US" w:bidi="ar-SA"/>
        </w:rPr>
        <w:t>赛队应稳定，经报名确认参赛选手原则不得更改，若有特殊情况，赛队不能全员参加，需提前向组委会申请，并说明原因，核实后，允许赛队缺员参赛，但参赛人数不得少于2人，否则赛队应自行退出比赛。</w:t>
      </w:r>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r w:rsidR="003679C0">
        <w:rPr>
          <w:rFonts w:ascii="仿宋_GB2312" w:eastAsia="仿宋_GB2312" w:hAnsi="仿宋_GB2312" w:cs="仿宋_GB2312" w:hint="eastAsia"/>
          <w:bCs/>
          <w:kern w:val="2"/>
          <w:sz w:val="24"/>
          <w:szCs w:val="24"/>
          <w:lang w:val="en-US" w:bidi="ar-SA"/>
        </w:rPr>
        <w:t>比赛期间容许观众在指定的区域内现场观摩。</w:t>
      </w:r>
    </w:p>
    <w:p w:rsidR="00587E98" w:rsidRDefault="004D7EE6" w:rsidP="004D7EE6">
      <w:pPr>
        <w:pStyle w:val="a3"/>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w:t>
      </w:r>
      <w:r w:rsidR="003679C0">
        <w:rPr>
          <w:rFonts w:ascii="仿宋_GB2312" w:eastAsia="仿宋_GB2312" w:hAnsi="仿宋_GB2312" w:cs="仿宋_GB2312" w:hint="eastAsia"/>
          <w:bCs/>
          <w:kern w:val="2"/>
          <w:sz w:val="24"/>
          <w:szCs w:val="24"/>
          <w:lang w:val="en-US" w:bidi="ar-SA"/>
        </w:rPr>
        <w:t xml:space="preserve">建议各院校为参赛教师和选手购买保险。 </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5" w:name="_Toc17207"/>
      <w:r>
        <w:rPr>
          <w:rFonts w:ascii="黑体" w:eastAsia="黑体" w:hAnsi="黑体" w:cs="黑体" w:hint="eastAsia"/>
          <w:kern w:val="44"/>
          <w:sz w:val="28"/>
          <w:szCs w:val="28"/>
          <w:lang w:val="en-US" w:bidi="ar-SA"/>
        </w:rPr>
        <w:t>竞赛环境</w:t>
      </w:r>
      <w:bookmarkEnd w:id="15"/>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组委会须在赛前组织专人对比赛现场、住宿场所和交通保障进行考察，并对安全工作提出明确要求。赛场的布置，赛场内的器材、设备，应符合国家有关安全规定。赛前应进行赛场仿真模拟测试，以发现可能出现的问题。承办单位赛前须按照执委会要求排除安全隐患。</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3）承办单位应提供保证应急预案实施的条件。对于比赛内容涉及人身安全情况的赛项，必须明确制度和预案，并配备急救人员与设施。</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4）严格控制与参赛无关的易燃易爆以及各类危险品进入比赛场地，不许随便携带书包进入赛场。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5）配备先进的仪器，防止有人利用电磁波干扰比赛秩序。大赛现场需对赛场进行网络安全控制，以免场内外信息交互，充分体现大赛的严肃、公平和公正性。</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6）组委会须会同承办单位制定开放赛场和体验区的人员疏导方案。赛场环境中存在人员密集、车流人流交错的区域，除了设置齐全的指示标志外，须增加引导人员，并开辟备用通道。</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7）大赛期间，承办单位须在赛场管理的关键岗位，增加力量，建立安全管理日志。</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6" w:name="_Toc19553"/>
      <w:r>
        <w:rPr>
          <w:rFonts w:ascii="黑体" w:eastAsia="黑体" w:hAnsi="黑体" w:cs="黑体" w:hint="eastAsia"/>
          <w:kern w:val="44"/>
          <w:sz w:val="28"/>
          <w:szCs w:val="28"/>
          <w:lang w:val="en-US" w:bidi="ar-SA"/>
        </w:rPr>
        <w:t>技术规范</w:t>
      </w:r>
      <w:bookmarkEnd w:id="16"/>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1）《冲击回波法检测混凝土缺陷技术规程》JGJ/T 411-2017</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2）《锚杆锚固质量无损检测技术规程》JGJ/T 182-2009</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3）《混凝土中钢筋检测技术规程》JGJ/T152-2008</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4）《水工混凝土结构缺陷检测技术规程》SL 713-2015</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5）《混凝土结构现场检测技术标准》GB/T 50784-2013</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6）《电磁感应法检测钢筋保护层厚度和钢筋直径技术规程》DB11/T365-2006</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7）《钢筋保护层厚度测量仪、楼板厚度测量仪计量校准规范》JJF1224-2009</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8）本赛项技术规范（凡与上述标准不一致的内容以赛项技术规范为准）</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17" w:name="_Toc22702"/>
      <w:r>
        <w:rPr>
          <w:rFonts w:ascii="黑体" w:eastAsia="黑体" w:hAnsi="黑体" w:cs="黑体" w:hint="eastAsia"/>
          <w:kern w:val="44"/>
          <w:sz w:val="28"/>
          <w:szCs w:val="28"/>
          <w:lang w:val="en-US" w:bidi="ar-SA"/>
        </w:rPr>
        <w:t>技术平台</w:t>
      </w:r>
      <w:bookmarkEnd w:id="17"/>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竞赛使用的所有仪器、附件及计算工具均由大赛组委会统一提供，包括：</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18" w:name="_Toc24663"/>
      <w:r>
        <w:rPr>
          <w:rFonts w:ascii="仿宋_GB2312" w:eastAsia="仿宋_GB2312" w:hAnsi="仿宋_GB2312" w:cs="仿宋_GB2312" w:hint="eastAsia"/>
          <w:bCs/>
          <w:kern w:val="2"/>
          <w:sz w:val="24"/>
          <w:szCs w:val="24"/>
          <w:lang w:val="en-US" w:bidi="ar-SA"/>
        </w:rPr>
        <w:t>1）混凝土裂缝深度测定</w:t>
      </w:r>
      <w:bookmarkEnd w:id="18"/>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冲击弹性波无损检测仪：含激振装置、传感器、采集软件、分析软件，可测试混凝土结构厚度、裂缝深度、内部缺陷。</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19" w:name="_Toc1537"/>
      <w:r>
        <w:rPr>
          <w:rFonts w:ascii="仿宋_GB2312" w:eastAsia="仿宋_GB2312" w:hAnsi="仿宋_GB2312" w:cs="仿宋_GB2312" w:hint="eastAsia"/>
          <w:bCs/>
          <w:kern w:val="2"/>
          <w:sz w:val="24"/>
          <w:szCs w:val="24"/>
          <w:lang w:val="en-US" w:bidi="ar-SA"/>
        </w:rPr>
        <w:t>2）锚杆长度测定</w:t>
      </w:r>
      <w:bookmarkEnd w:id="19"/>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锚杆无损检测仪：含激振装置、传感器、采集软件、分析软件，可测试锚杆长度。</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0" w:name="_Toc1488"/>
      <w:r>
        <w:rPr>
          <w:rFonts w:ascii="仿宋_GB2312" w:eastAsia="仿宋_GB2312" w:hAnsi="仿宋_GB2312" w:cs="仿宋_GB2312" w:hint="eastAsia"/>
          <w:bCs/>
          <w:kern w:val="2"/>
          <w:sz w:val="24"/>
          <w:szCs w:val="24"/>
          <w:lang w:val="en-US" w:bidi="ar-SA"/>
        </w:rPr>
        <w:t>3）钢筋位置及保护层厚度测定</w:t>
      </w:r>
      <w:bookmarkEnd w:id="20"/>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钢筋扫描仪：含钢筋扫描探头、采集软件、分析软件，可测试钢筋位置及保护层厚度。</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21" w:name="_Toc8986"/>
      <w:r>
        <w:rPr>
          <w:rFonts w:ascii="黑体" w:eastAsia="黑体" w:hAnsi="黑体" w:cs="黑体" w:hint="eastAsia"/>
          <w:kern w:val="44"/>
          <w:sz w:val="28"/>
          <w:szCs w:val="28"/>
          <w:lang w:val="en-US" w:bidi="ar-SA"/>
        </w:rPr>
        <w:t>评分办法</w:t>
      </w:r>
      <w:bookmarkEnd w:id="21"/>
    </w:p>
    <w:p w:rsidR="00587E98" w:rsidRDefault="003679C0">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2" w:name="_Toc464"/>
      <w:r>
        <w:rPr>
          <w:rFonts w:ascii="Arial" w:eastAsia="黑体" w:hAnsi="Arial" w:cstheme="minorBidi" w:hint="eastAsia"/>
          <w:b/>
          <w:kern w:val="2"/>
          <w:sz w:val="24"/>
          <w:szCs w:val="24"/>
          <w:lang w:val="en-US" w:bidi="ar-SA"/>
        </w:rPr>
        <w:t>制定原则</w:t>
      </w:r>
      <w:bookmarkEnd w:id="22"/>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1）以国家及行业相关检测标准规范为准制订评分细则。</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2）评分办法和细则有利于培养学生养成严谨求实的业务作风和精益求精的职业素养。</w:t>
      </w:r>
    </w:p>
    <w:p w:rsidR="00587E98" w:rsidRDefault="003679C0">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3" w:name="_Toc18417"/>
      <w:r>
        <w:rPr>
          <w:rFonts w:ascii="Arial" w:eastAsia="黑体" w:hAnsi="Arial" w:cstheme="minorBidi" w:hint="eastAsia"/>
          <w:b/>
          <w:kern w:val="2"/>
          <w:sz w:val="24"/>
          <w:szCs w:val="24"/>
          <w:lang w:val="en-US" w:bidi="ar-SA"/>
        </w:rPr>
        <w:t>评分方法</w:t>
      </w:r>
      <w:bookmarkEnd w:id="23"/>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竞赛成绩主要从参赛队的成果质量（检测准备、检测步骤、检测记录、数据处理、检测结果、设备整理）、作业效率、竞赛风貌三个方面进行计算，采用百分制。其中作业效率总分10分，按各组竞赛用时计算；竞赛风貌总分5分，根据各队精神风貌、纪律行为评分；成果质量总分85分，按照实施细则评定。</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2）团体总成绩按参赛队三个单项成绩加权求和：</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团体总成绩=混凝土裂缝深度测定成绩×30%＋锚杆长度测定成绩×30%＋钢筋位置及保护层厚度测定×40%。</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若两队总分相等，按照以下顺序确定名次：</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（1）钢筋位置及保护层厚度测定质量成绩高；</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（2）锚杆长度测定质量成绩高；</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（3）竞赛用时少（混凝土裂缝深度测定时间＋锚杆长度测定时间＋钢筋位置及保护层厚度测定时间）；</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（4）竞赛最大时长限制：各赛项最长竞赛时间不超过20分钟，任何比赛项目均不得超时，否则立即终止比赛；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（5）凡因超限、超时未完成比赛或定性为不合格的成果成绩为0；</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（6）竞赛过程中伪造数据者，取消该队全部竞赛资格，并报请甘肃省职业院校技能大赛办公室通报批评。</w:t>
      </w:r>
    </w:p>
    <w:p w:rsidR="00587E98" w:rsidRDefault="003679C0">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4" w:name="_Toc14896"/>
      <w:r>
        <w:rPr>
          <w:rFonts w:ascii="Arial" w:eastAsia="黑体" w:hAnsi="Arial" w:cstheme="minorBidi" w:hint="eastAsia"/>
          <w:b/>
          <w:kern w:val="2"/>
          <w:sz w:val="24"/>
          <w:szCs w:val="24"/>
          <w:lang w:val="en-US" w:bidi="ar-SA"/>
        </w:rPr>
        <w:t>评分标准</w:t>
      </w:r>
      <w:bookmarkEnd w:id="24"/>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竞赛用时占10分，参赛风貌5分，操作及成果质量占85分。</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5" w:name="_Toc4303"/>
      <w:r>
        <w:rPr>
          <w:rFonts w:ascii="仿宋_GB2312" w:eastAsia="仿宋_GB2312" w:hAnsi="仿宋_GB2312" w:cs="仿宋_GB2312" w:hint="eastAsia"/>
          <w:bCs/>
          <w:kern w:val="2"/>
          <w:sz w:val="24"/>
          <w:szCs w:val="24"/>
          <w:lang w:val="en-US" w:bidi="ar-SA"/>
        </w:rPr>
        <w:t>1）竞赛用时成绩评分</w:t>
      </w:r>
      <w:bookmarkEnd w:id="25"/>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根据现场裁判计时，由裁判委员会组织按评分办法计算评定。</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6" w:name="_Toc12563"/>
      <w:r>
        <w:rPr>
          <w:rFonts w:ascii="仿宋_GB2312" w:eastAsia="仿宋_GB2312" w:hAnsi="仿宋_GB2312" w:cs="仿宋_GB2312" w:hint="eastAsia"/>
          <w:bCs/>
          <w:kern w:val="2"/>
          <w:sz w:val="24"/>
          <w:szCs w:val="24"/>
          <w:lang w:val="en-US" w:bidi="ar-SA"/>
        </w:rPr>
        <w:t>2）参赛风貌评分</w:t>
      </w:r>
      <w:bookmarkEnd w:id="26"/>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根据现场参赛选手衣着、操作规范性、进退场秩序由裁判打分。</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27" w:name="_Toc6067"/>
      <w:r>
        <w:rPr>
          <w:rFonts w:ascii="仿宋_GB2312" w:eastAsia="仿宋_GB2312" w:hAnsi="仿宋_GB2312" w:cs="仿宋_GB2312" w:hint="eastAsia"/>
          <w:bCs/>
          <w:kern w:val="2"/>
          <w:sz w:val="24"/>
          <w:szCs w:val="24"/>
          <w:lang w:val="en-US" w:bidi="ar-SA"/>
        </w:rPr>
        <w:t>3）竞赛成果质量评分标准</w:t>
      </w:r>
      <w:bookmarkEnd w:id="27"/>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操作及成果质量由现场裁判根据评分办法评定。出现表9-1中情况给予取消竞赛资格及扣分处罚。</w:t>
      </w:r>
    </w:p>
    <w:p w:rsidR="00587E98" w:rsidRDefault="003679C0" w:rsidP="00FB155A">
      <w:pPr>
        <w:spacing w:beforeLines="50" w:afterLines="50" w:line="307" w:lineRule="auto"/>
        <w:jc w:val="center"/>
        <w:rPr>
          <w:rFonts w:ascii="仿宋_GB2312" w:eastAsia="仿宋_GB2312" w:hAnsi="仿宋_GB2312" w:cs="仿宋_GB2312"/>
          <w:b/>
          <w:kern w:val="2"/>
          <w:sz w:val="24"/>
          <w:szCs w:val="24"/>
          <w:lang w:val="en-US" w:bidi="ar-SA"/>
        </w:rPr>
      </w:pPr>
      <w:r>
        <w:rPr>
          <w:rFonts w:ascii="仿宋_GB2312" w:eastAsia="仿宋_GB2312" w:hAnsi="仿宋_GB2312" w:cs="仿宋_GB2312" w:hint="eastAsia"/>
          <w:b/>
          <w:kern w:val="2"/>
          <w:sz w:val="24"/>
          <w:szCs w:val="24"/>
          <w:lang w:val="en-US" w:bidi="ar-SA"/>
        </w:rPr>
        <w:t>表9-1  竞赛成果质量评分标准</w:t>
      </w:r>
    </w:p>
    <w:tbl>
      <w:tblPr>
        <w:tblW w:w="4874"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1"/>
        <w:gridCol w:w="3894"/>
      </w:tblGrid>
      <w:tr w:rsidR="00587E98" w:rsidTr="004D7EE6">
        <w:trPr>
          <w:trHeight w:val="510"/>
          <w:jc w:val="center"/>
        </w:trPr>
        <w:tc>
          <w:tcPr>
            <w:tcW w:w="2994" w:type="pct"/>
            <w:shd w:val="clear" w:color="auto" w:fill="auto"/>
            <w:vAlign w:val="center"/>
          </w:tcPr>
          <w:p w:rsidR="00587E98" w:rsidRDefault="003679C0">
            <w:pPr>
              <w:autoSpaceDE/>
              <w:autoSpaceDN/>
              <w:jc w:val="center"/>
              <w:rPr>
                <w:rFonts w:ascii="仿宋_GB2312" w:eastAsia="仿宋_GB2312" w:hAnsi="仿宋_GB2312" w:cs="仿宋_GB2312"/>
                <w:b/>
                <w:kern w:val="2"/>
                <w:sz w:val="21"/>
                <w:szCs w:val="21"/>
                <w:lang w:val="en-US" w:bidi="ar-SA"/>
              </w:rPr>
            </w:pPr>
            <w:r>
              <w:rPr>
                <w:rFonts w:ascii="仿宋_GB2312" w:eastAsia="仿宋_GB2312" w:hAnsi="仿宋_GB2312" w:cs="仿宋_GB2312" w:hint="eastAsia"/>
                <w:b/>
                <w:kern w:val="2"/>
                <w:sz w:val="21"/>
                <w:szCs w:val="21"/>
                <w:lang w:val="en-US" w:bidi="ar-SA"/>
              </w:rPr>
              <w:t>评测内容</w:t>
            </w:r>
          </w:p>
        </w:tc>
        <w:tc>
          <w:tcPr>
            <w:tcW w:w="2006" w:type="pct"/>
            <w:shd w:val="clear" w:color="auto" w:fill="auto"/>
            <w:vAlign w:val="center"/>
          </w:tcPr>
          <w:p w:rsidR="00587E98" w:rsidRDefault="003679C0">
            <w:pPr>
              <w:autoSpaceDE/>
              <w:autoSpaceDN/>
              <w:jc w:val="center"/>
              <w:rPr>
                <w:rFonts w:ascii="仿宋_GB2312" w:eastAsia="仿宋_GB2312" w:hAnsi="仿宋_GB2312" w:cs="仿宋_GB2312"/>
                <w:b/>
                <w:kern w:val="2"/>
                <w:sz w:val="21"/>
                <w:szCs w:val="21"/>
                <w:lang w:val="en-US" w:bidi="ar-SA"/>
              </w:rPr>
            </w:pPr>
            <w:r>
              <w:rPr>
                <w:rFonts w:ascii="仿宋_GB2312" w:eastAsia="仿宋_GB2312" w:hAnsi="仿宋_GB2312" w:cs="仿宋_GB2312" w:hint="eastAsia"/>
                <w:b/>
                <w:kern w:val="2"/>
                <w:sz w:val="21"/>
                <w:szCs w:val="21"/>
                <w:lang w:val="en-US" w:bidi="ar-SA"/>
              </w:rPr>
              <w:t>评分标准</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将教材及非赛会配发的竞赛用具带入竞赛场地</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违规使用电话等通讯设备</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故意干扰其他队测量</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不听裁判劝阻，取消竞赛资格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仪器设备损坏或者甩落地</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选手不按规程要求轮换竞赛工作</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轮换错误1次扣10分</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未将全部仪器设备按要求整理归还至领用处</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经裁判提醒不按要求完成，扣10分</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竞赛过程中，指导教师进入竞赛场地或在场外进行指导</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违规1次扣10分。</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选手在竞赛过程中擅自离开赛场</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伪造数据</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lastRenderedPageBreak/>
              <w:t>将现场记录表格带离竞赛场地</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成绩无效，取消竞赛资格</w:t>
            </w:r>
          </w:p>
        </w:tc>
      </w:tr>
      <w:tr w:rsidR="00587E98" w:rsidTr="004D7EE6">
        <w:trPr>
          <w:trHeight w:val="510"/>
          <w:jc w:val="center"/>
        </w:trPr>
        <w:tc>
          <w:tcPr>
            <w:tcW w:w="2994"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其他扣分事项</w:t>
            </w:r>
          </w:p>
        </w:tc>
        <w:tc>
          <w:tcPr>
            <w:tcW w:w="2006" w:type="pct"/>
            <w:vAlign w:val="center"/>
          </w:tcPr>
          <w:p w:rsidR="00587E98" w:rsidRDefault="003679C0">
            <w:pPr>
              <w:autoSpaceDE/>
              <w:autoSpaceDN/>
              <w:jc w:val="center"/>
              <w:rPr>
                <w:rFonts w:ascii="仿宋_GB2312" w:eastAsia="仿宋_GB2312" w:hAnsi="仿宋_GB2312" w:cs="仿宋_GB2312"/>
                <w:bCs/>
                <w:kern w:val="2"/>
                <w:sz w:val="21"/>
                <w:szCs w:val="21"/>
                <w:lang w:val="en-US" w:bidi="ar-SA"/>
              </w:rPr>
            </w:pPr>
            <w:r>
              <w:rPr>
                <w:rFonts w:ascii="仿宋_GB2312" w:eastAsia="仿宋_GB2312" w:hAnsi="仿宋_GB2312" w:cs="仿宋_GB2312" w:hint="eastAsia"/>
                <w:bCs/>
                <w:kern w:val="2"/>
                <w:sz w:val="21"/>
                <w:szCs w:val="21"/>
                <w:lang w:val="en-US" w:bidi="ar-SA"/>
              </w:rPr>
              <w:t>由裁判、裁判长裁定</w:t>
            </w:r>
          </w:p>
        </w:tc>
      </w:tr>
    </w:tbl>
    <w:p w:rsidR="00587E98" w:rsidRDefault="003679C0" w:rsidP="00FB155A">
      <w:pPr>
        <w:spacing w:beforeLines="50" w:line="360" w:lineRule="auto"/>
        <w:rPr>
          <w:b/>
          <w:bCs/>
          <w:sz w:val="28"/>
          <w:szCs w:val="28"/>
          <w:lang w:val="en-US"/>
        </w:rPr>
      </w:pPr>
      <w:r>
        <w:rPr>
          <w:rFonts w:hint="eastAsia"/>
          <w:b/>
          <w:bCs/>
          <w:sz w:val="28"/>
          <w:szCs w:val="28"/>
          <w:lang w:val="en-US"/>
        </w:rPr>
        <w:t>注：该部分合计扣分直接在总成绩中扣除。</w:t>
      </w:r>
    </w:p>
    <w:p w:rsidR="00587E98" w:rsidRDefault="003679C0">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8" w:name="_Toc4921"/>
      <w:r>
        <w:rPr>
          <w:rFonts w:ascii="Arial" w:eastAsia="黑体" w:hAnsi="Arial" w:cstheme="minorBidi" w:hint="eastAsia"/>
          <w:b/>
          <w:kern w:val="2"/>
          <w:sz w:val="24"/>
          <w:szCs w:val="24"/>
          <w:lang w:val="en-US" w:bidi="ar-SA"/>
        </w:rPr>
        <w:t>成绩评定</w:t>
      </w:r>
      <w:bookmarkEnd w:id="28"/>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成绩评定由裁判委员会根据竞赛评分标准做出评价，评分方法采用过程评分和结果评分相结合的方式。</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1）裁判委员会设总裁判长1名，单项裁判3名。竞赛过程中，每个竞赛工位配1名现场裁判，根据《甘肃省高等职业院校技能大赛竞赛裁判和监察仲裁工作管理办法》全程执裁。</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2）竞赛的成绩由现场裁判根据各队的竞赛表现，依据竞赛评分标准评定，由单项裁判长审核确定。</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3）各队所有赛项总成绩由总裁判长汇总、审核。</w:t>
      </w:r>
    </w:p>
    <w:p w:rsidR="00587E98" w:rsidRDefault="003679C0">
      <w:pPr>
        <w:pStyle w:val="2"/>
        <w:keepNext/>
        <w:keepLines/>
        <w:numPr>
          <w:ilvl w:val="0"/>
          <w:numId w:val="6"/>
        </w:numPr>
        <w:autoSpaceDE/>
        <w:autoSpaceDN/>
        <w:spacing w:line="360" w:lineRule="auto"/>
        <w:ind w:left="0"/>
        <w:jc w:val="both"/>
        <w:rPr>
          <w:rFonts w:ascii="Arial" w:eastAsia="黑体" w:hAnsi="Arial" w:cstheme="minorBidi"/>
          <w:b/>
          <w:kern w:val="2"/>
          <w:sz w:val="24"/>
          <w:szCs w:val="24"/>
          <w:lang w:val="en-US" w:bidi="ar-SA"/>
        </w:rPr>
      </w:pPr>
      <w:bookmarkStart w:id="29" w:name="_Toc16320"/>
      <w:r>
        <w:rPr>
          <w:rFonts w:ascii="Arial" w:eastAsia="黑体" w:hAnsi="Arial" w:cstheme="minorBidi" w:hint="eastAsia"/>
          <w:b/>
          <w:kern w:val="2"/>
          <w:sz w:val="24"/>
          <w:szCs w:val="24"/>
          <w:lang w:val="en-US" w:bidi="ar-SA"/>
        </w:rPr>
        <w:t>成绩公布</w:t>
      </w:r>
      <w:bookmarkEnd w:id="29"/>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1）成绩产生、审核和公布由裁判组和仲裁组按照竞赛制度《成绩管理办法》执行。</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2）各项总成绩汇总后，由总裁判长审核后报赛项组委会审定，张榜公布，公布后1小时内提出申诉，仲裁长负责接受投诉，总裁判长、分项裁判长负责接受咨询。</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0" w:name="_Toc32374"/>
      <w:r>
        <w:rPr>
          <w:rFonts w:ascii="黑体" w:eastAsia="黑体" w:hAnsi="黑体" w:cs="黑体" w:hint="eastAsia"/>
          <w:kern w:val="44"/>
          <w:sz w:val="28"/>
          <w:szCs w:val="28"/>
          <w:lang w:val="en-US" w:bidi="ar-SA"/>
        </w:rPr>
        <w:t>奖项设定</w:t>
      </w:r>
      <w:bookmarkEnd w:id="30"/>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31" w:name="_Toc510013713"/>
      <w:bookmarkStart w:id="32" w:name="_Toc247013131"/>
      <w:r>
        <w:rPr>
          <w:rFonts w:ascii="仿宋_GB2312" w:eastAsia="仿宋_GB2312" w:hAnsi="仿宋_GB2312" w:cs="仿宋_GB2312" w:hint="eastAsia"/>
          <w:bCs/>
          <w:kern w:val="2"/>
          <w:sz w:val="24"/>
          <w:szCs w:val="24"/>
          <w:lang w:val="en-US" w:bidi="ar-SA"/>
        </w:rPr>
        <w:t>1）本赛项只设定团体总成绩奖，不设单项奖和个人奖。</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bookmarkStart w:id="33" w:name="_Toc247013133"/>
      <w:bookmarkStart w:id="34" w:name="_Toc510013714"/>
      <w:bookmarkEnd w:id="31"/>
      <w:bookmarkEnd w:id="32"/>
      <w:r>
        <w:rPr>
          <w:rFonts w:ascii="仿宋_GB2312" w:eastAsia="仿宋_GB2312" w:hAnsi="仿宋_GB2312" w:cs="仿宋_GB2312" w:hint="eastAsia"/>
          <w:bCs/>
          <w:kern w:val="2"/>
          <w:sz w:val="24"/>
          <w:szCs w:val="24"/>
          <w:lang w:val="en-US" w:bidi="ar-SA"/>
        </w:rPr>
        <w:t>2）</w:t>
      </w:r>
      <w:bookmarkEnd w:id="33"/>
      <w:bookmarkEnd w:id="34"/>
      <w:r>
        <w:rPr>
          <w:rFonts w:ascii="仿宋_GB2312" w:eastAsia="仿宋_GB2312" w:hAnsi="仿宋_GB2312" w:cs="仿宋_GB2312" w:hint="eastAsia"/>
          <w:bCs/>
          <w:kern w:val="2"/>
          <w:sz w:val="24"/>
          <w:szCs w:val="24"/>
          <w:lang w:val="en-US" w:bidi="ar-SA"/>
        </w:rPr>
        <w:t>按实际参赛人（队）数的 10%、20%、30%（小数点后四舍五入）分设一、二、三等奖。其他情况按照竞赛规程总则执行。</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5" w:name="_Toc29662"/>
      <w:r>
        <w:rPr>
          <w:rFonts w:ascii="黑体" w:eastAsia="黑体" w:hAnsi="黑体" w:cs="黑体" w:hint="eastAsia"/>
          <w:kern w:val="44"/>
          <w:sz w:val="28"/>
          <w:szCs w:val="28"/>
          <w:lang w:val="en-US" w:bidi="ar-SA"/>
        </w:rPr>
        <w:t>申诉与仲裁</w:t>
      </w:r>
      <w:bookmarkEnd w:id="35"/>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 xml:space="preserve">1）各参赛队对不符合赛项规程规定的仪器、设备、工装、材料、物件、计算机软硬件、竞赛使用工具、用品，竞赛执裁、赛场管理、竞赛成绩，以及工作人员的不规范行为等，可向赛项仲裁组提出申诉，申诉主体为参赛队领队。 </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2）申诉启动时，参赛队向赛项仲裁组递交领队亲笔签字同意的书面报告。书面报告应对申诉事件的现象、发生时间、涉及人员、申诉依据等进行充分、实事求是的叙述。非书面申诉不予受理。</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 xml:space="preserve">3）提出申诉的时间应在比赛结束后(选手赛场比赛内容全部完成)2 小时内。超过时效不予受理。 </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4）赛项仲裁组在接到申诉报告后的 2 小时内组织复议，并及时将复议结果以书面形式告知申诉方。申诉方对复议结果仍有异议，可由领队向比赛监督员提出申诉，由监督员传达最终仲裁结果。</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 xml:space="preserve">5）申诉方不得以任何理由拒绝接收仲裁结果，不得以任何理由采取过激行为扰乱赛场秩序。仲裁结果由申诉人签收，不能代收，如在约定时间和地点申诉人离开，视为自行放弃申诉。 </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6）申诉方可随时提出放弃申诉。</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36" w:name="_Toc17340"/>
      <w:r>
        <w:rPr>
          <w:rFonts w:ascii="黑体" w:eastAsia="黑体" w:hAnsi="黑体" w:cs="黑体" w:hint="eastAsia"/>
          <w:kern w:val="44"/>
          <w:sz w:val="28"/>
          <w:szCs w:val="28"/>
          <w:lang w:val="en-US" w:bidi="ar-SA"/>
        </w:rPr>
        <w:t>赛项安全</w:t>
      </w:r>
      <w:bookmarkEnd w:id="36"/>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37" w:name="_Toc13781"/>
      <w:r>
        <w:rPr>
          <w:rFonts w:ascii="Arial" w:eastAsia="黑体" w:hAnsi="Arial" w:cstheme="minorBidi" w:hint="eastAsia"/>
          <w:b/>
          <w:kern w:val="2"/>
          <w:sz w:val="24"/>
          <w:szCs w:val="24"/>
          <w:lang w:val="en-US" w:bidi="ar-SA"/>
        </w:rPr>
        <w:t>安全保障组织机构</w:t>
      </w:r>
      <w:bookmarkEnd w:id="37"/>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根据《全国职业院校技能大赛安全管理规定》：</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赛项应成立安全管理机构负责本赛项筹备和比赛期间的各项安全工作，赛项执委会主任为第一责任人；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指定1名执委会副主任负责赛场安全。赛项执委会在赛前一周会同当地消防部门、质量监督部门检查赛场消防设施和比赛设备安全性能，并按消防、质监部门意见整改。赛前两天，执委会主任会同赛项专家组对赛场进行验收；</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指定1名执委会副主任负责住宿与饮食安全。执委会会同当地公安部门，食品卫生部门，检查并验收驻地的安全设施和饮食卫生，保证选手的住宿安全和饮食安全；</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各省、自治区、直辖市和计划单列市在组织参赛队时，须为参赛选手购买大赛期间的人身意外伤害保险。领队为参赛队交通安全责任人。负责选手从学校出发到结束比赛回到学校整个期间的人身、交通、饮食安全。</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38" w:name="_Toc9371"/>
      <w:r>
        <w:rPr>
          <w:rFonts w:ascii="Arial" w:eastAsia="黑体" w:hAnsi="Arial" w:cstheme="minorBidi"/>
          <w:b/>
          <w:kern w:val="2"/>
          <w:sz w:val="24"/>
          <w:szCs w:val="24"/>
          <w:lang w:val="en-US" w:bidi="ar-SA"/>
        </w:rPr>
        <w:t>选手安全要求</w:t>
      </w:r>
      <w:bookmarkEnd w:id="38"/>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进入赛场，必须穿符合安全要求的服装。不得穿背心、短裤和拖鞋进入竞赛场地；</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严格遵守操作规程，不得擅自开启电源，不得带电操作，以免造成伤害和事故；</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参赛人员应爱护竞赛场所的仪器设备，操作设备时应按规定的操作程序谨慎操作，不得触动非竞赛用仪器设备。操作中若违反安全操作规定导致发生较严重的安全事故，将立即取消竞赛资格；</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进行设备组装和调试时，工具和检测仪器、仪表等应放置在规定的位置，不得摆放在设备和连接的电路上；</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w:t>
      </w:r>
      <w:bookmarkStart w:id="39" w:name="_GoBack"/>
      <w:bookmarkEnd w:id="39"/>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竞赛结束时，参赛选手必须清扫、整理工作现场，与赛场工作人员办理终结手续后，方可离开赛场。</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0" w:name="_Toc2694"/>
      <w:r>
        <w:rPr>
          <w:rFonts w:ascii="Arial" w:eastAsia="黑体" w:hAnsi="Arial" w:cstheme="minorBidi"/>
          <w:b/>
          <w:kern w:val="2"/>
          <w:sz w:val="24"/>
          <w:szCs w:val="24"/>
          <w:lang w:val="en-US" w:bidi="ar-SA"/>
        </w:rPr>
        <w:t>安保工作要求</w:t>
      </w:r>
      <w:bookmarkEnd w:id="40"/>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w:t>
      </w:r>
      <w:r>
        <w:rPr>
          <w:rFonts w:ascii="仿宋_GB2312" w:eastAsia="仿宋_GB2312" w:hAnsi="仿宋_GB2312" w:cs="仿宋_GB2312"/>
          <w:bCs/>
          <w:kern w:val="2"/>
          <w:sz w:val="24"/>
          <w:szCs w:val="24"/>
          <w:lang w:val="en-US" w:bidi="ar-SA"/>
        </w:rPr>
        <w:t>指挥员在发生突发事件时要掌握信息，统一布置工作，其他人员不得干扰；</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发生突发事件时，全体安全保卫人员必须服从命令、听从指挥，以大局为重，不得顶撞、拖延或临时逃脱；</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突发事件发生时，全体安全保卫人员要坚守岗位、尽职尽责，在未接到撤岗指令之前，不得离开岗位；</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发现安全隐患或突发事件时，现场人员应立即向保卫组汇报，保卫组接报后要火速到达案发现场，指挥并配合公安干警及安全保卫人员搞好抢救工作；</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5</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视突发事件的具体情况，分别向上级主管部门和相关部门报告，并立即启动《赛区安全保卫突发事件处理预案》；</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6</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发生火警和恶性事件时，现场人员可主动向公安机关报警并向领导汇报，立即组织抢救，以免贻误战机；启用消防应急广播，通知疏散路线，稳定人心，避免踩踏伤人；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7</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安全出口执勤人员，接到指令后立即打开出口门，疏导参赛人员有序撤离现场。</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1" w:name="_Toc32193"/>
      <w:r>
        <w:rPr>
          <w:rFonts w:ascii="Arial" w:eastAsia="黑体" w:hAnsi="Arial" w:cstheme="minorBidi"/>
          <w:b/>
          <w:kern w:val="2"/>
          <w:sz w:val="24"/>
          <w:szCs w:val="24"/>
          <w:lang w:val="en-US" w:bidi="ar-SA"/>
        </w:rPr>
        <w:t>裁判安全要求</w:t>
      </w:r>
      <w:bookmarkEnd w:id="41"/>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参赛选手有故意损坏设备或故意伤害他人或自己的行为时，赛场裁判应立即制止，报告首席裁判，经首席裁判报执委会并经执委会同意后终止该参赛选手比赛资格；</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裁判在执裁过程中如发现选手操作存在安全隐患时应及时制止或采取切断电源等紧急补救措施；</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裁判在执裁过程中发现其他安全隐患应立即通知首席裁判并上报执委会，由执委会采取紧急补救措施。</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2" w:name="_Toc16901"/>
      <w:r>
        <w:rPr>
          <w:rFonts w:ascii="Arial" w:eastAsia="黑体" w:hAnsi="Arial" w:cstheme="minorBidi"/>
          <w:b/>
          <w:kern w:val="2"/>
          <w:sz w:val="24"/>
          <w:szCs w:val="24"/>
          <w:lang w:val="en-US" w:bidi="ar-SA"/>
        </w:rPr>
        <w:t>赛场文明</w:t>
      </w:r>
      <w:bookmarkEnd w:id="42"/>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进入赛场人员要严格服从赛场工作人员的指挥，遵守赛场秩序，服从赛场工作人员的引导和安排。观摩人员要按指定区域观摩，切忌越过设置的警戒线；</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在赛场观摩比赛时。请不要大声喧哗，不要拥挤推搡，以免影响比赛正常进行；</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赛场内严禁吸烟，严禁携带易燃易爆物品入场；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4</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进入赛区的人员请爱护现场各类物品，爱护公共环境，不随意张贴个人资料；</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5</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遇到问题和意外事件时，请及时向现场工作人员寻求帮助；</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6</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发生火灾或突发事件时，要服从赛场服务人员指挥，有序撤离现场，避免慌乱，踩踏伤人；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7</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遇到紧急情况发生拥挤时，应保持镇静，在相对安全地点作短暂停留。人群拥挤时，要双手抱住胸口，防止内脏被挤压受伤。在人群中不小心跌倒时，应立即收缩身体、抱紧头，尽量减少伤害；</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8</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如遇特殊情况，则服从大赛统一指挥；</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9</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设置突发事件应急疏散示意图。</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3" w:name="_Toc13453"/>
      <w:r>
        <w:rPr>
          <w:rFonts w:ascii="Arial" w:eastAsia="黑体" w:hAnsi="Arial" w:cstheme="minorBidi"/>
          <w:b/>
          <w:kern w:val="2"/>
          <w:sz w:val="24"/>
          <w:szCs w:val="24"/>
          <w:lang w:val="en-US" w:bidi="ar-SA"/>
        </w:rPr>
        <w:t>应急处理预案</w:t>
      </w:r>
      <w:bookmarkEnd w:id="43"/>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比赛期间发生意外事故时，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587E98" w:rsidRDefault="003679C0">
      <w:pPr>
        <w:pStyle w:val="2"/>
        <w:keepNext/>
        <w:keepLines/>
        <w:numPr>
          <w:ilvl w:val="0"/>
          <w:numId w:val="7"/>
        </w:numPr>
        <w:autoSpaceDE/>
        <w:autoSpaceDN/>
        <w:spacing w:line="360" w:lineRule="auto"/>
        <w:ind w:left="0"/>
        <w:jc w:val="both"/>
        <w:rPr>
          <w:rFonts w:ascii="Arial" w:eastAsia="黑体" w:hAnsi="Arial" w:cstheme="minorBidi"/>
          <w:b/>
          <w:kern w:val="2"/>
          <w:sz w:val="24"/>
          <w:szCs w:val="24"/>
          <w:lang w:val="en-US" w:bidi="ar-SA"/>
        </w:rPr>
      </w:pPr>
      <w:bookmarkStart w:id="44" w:name="_Toc4975"/>
      <w:r>
        <w:rPr>
          <w:rFonts w:ascii="Arial" w:eastAsia="黑体" w:hAnsi="Arial" w:cstheme="minorBidi"/>
          <w:b/>
          <w:kern w:val="2"/>
          <w:sz w:val="24"/>
          <w:szCs w:val="24"/>
          <w:lang w:val="en-US" w:bidi="ar-SA"/>
        </w:rPr>
        <w:t>防疫保障</w:t>
      </w:r>
      <w:bookmarkEnd w:id="44"/>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为稳慎安全有序地做好比赛，按照疫情防控工作相关要求，结合实际情况，制定本工作方案。</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工作目标</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切实保障现场所有工作人员健康安全做好赛事嘉宾、工作人员、参赛选手活动期间的疫情防控工作，做好突发情况的应急处置，确保赛事安全平稳实施。</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活动前防疫准备</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（1）赛前装备领取</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赛前领取装备时，参赛人员需提交检测日期为报道日前</w:t>
      </w:r>
      <w:r>
        <w:rPr>
          <w:rFonts w:ascii="仿宋_GB2312" w:eastAsia="仿宋_GB2312" w:hAnsi="仿宋_GB2312" w:cs="仿宋_GB2312" w:hint="eastAsia"/>
          <w:bCs/>
          <w:kern w:val="2"/>
          <w:sz w:val="24"/>
          <w:szCs w:val="24"/>
          <w:lang w:val="en-US" w:bidi="ar-SA"/>
        </w:rPr>
        <w:t>48小时</w:t>
      </w:r>
      <w:r>
        <w:rPr>
          <w:rFonts w:ascii="仿宋_GB2312" w:eastAsia="仿宋_GB2312" w:hAnsi="仿宋_GB2312" w:cs="仿宋_GB2312"/>
          <w:bCs/>
          <w:kern w:val="2"/>
          <w:sz w:val="24"/>
          <w:szCs w:val="24"/>
          <w:lang w:val="en-US" w:bidi="ar-SA"/>
        </w:rPr>
        <w:t>内核酸检测结果为阴性的报告或新冠疫苗完全接种纸质证明</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两针完全接种并且签署签名</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并出示、14天行程轨迹检查、</w:t>
      </w:r>
      <w:r w:rsidR="000F0D2F">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健康码”绿码核验、签署参赛防疫承诺书。</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（2）工作人员及赛事相关人员安全承诺和健康监测。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赛前告知并提醒所有人员相关事宜，包括参加赛事时必须携带的证件</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出示赛事证件及工作人员证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及相关资料证明</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健康码查询，14天行程轨迹查询，现场测温</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并签署健康承诺书，</w:t>
      </w:r>
      <w:r>
        <w:rPr>
          <w:rFonts w:ascii="仿宋_GB2312" w:eastAsia="仿宋_GB2312" w:hAnsi="仿宋_GB2312" w:cs="仿宋_GB2312" w:hint="eastAsia"/>
          <w:bCs/>
          <w:kern w:val="2"/>
          <w:sz w:val="24"/>
          <w:szCs w:val="24"/>
          <w:lang w:val="en-US" w:bidi="ar-SA"/>
        </w:rPr>
        <w:t>以及其他</w:t>
      </w:r>
      <w:r>
        <w:rPr>
          <w:rFonts w:ascii="仿宋_GB2312" w:eastAsia="仿宋_GB2312" w:hAnsi="仿宋_GB2312" w:cs="仿宋_GB2312"/>
          <w:bCs/>
          <w:kern w:val="2"/>
          <w:sz w:val="24"/>
          <w:szCs w:val="24"/>
          <w:lang w:val="en-US" w:bidi="ar-SA"/>
        </w:rPr>
        <w:t>相关要求，使所有人员充分知晓理解并遵照执行。</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工作人员及赛事相关人员务必提前完成本人“健康码”注册申请，做好赛事前及赛事</w:t>
      </w:r>
      <w:r>
        <w:rPr>
          <w:rFonts w:ascii="仿宋_GB2312" w:eastAsia="仿宋_GB2312" w:hAnsi="仿宋_GB2312" w:cs="仿宋_GB2312"/>
          <w:bCs/>
          <w:kern w:val="2"/>
          <w:sz w:val="24"/>
          <w:szCs w:val="24"/>
          <w:lang w:val="en-US" w:bidi="ar-SA"/>
        </w:rPr>
        <w:lastRenderedPageBreak/>
        <w:t>期间个人日常防护和健康监测，由主办方开展登记和留档保存。</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工作人员及赛事相关人员如在赛前14天内有发烧、咳嗽、咽痛、呼吸困难、呕吐、腹泻等症状，不得参与赛事。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（3）活动场地防疫要求。</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扩大场地防疫范围，防止社会闲杂人员等无关人员聚集，场地仅限现场工作人员和赛事相关人员进入，无关人员及车辆不得进入警戒范围。合理控制场地人员密度，参会人员尽量保持1米以上安全社交距离。安排专人负责实时监控人流聚集情况，原则上，人数不得超过场地饱和度人流50%，实行错时、分批等管控措施分流，引导场内人员保持合理间距和有序流动。</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场地入口处设置分步骤证件查验点和体温检测点，避免人员拥堵。设立相对独立的临时留观区，配备相应消毒防护用品。</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场地应按防疫要求配备口罩、一次性手套、手持式体温检测仪、速干免洗消毒剂、消毒湿巾、消毒剂、消毒器械等必要的防疫设备设施和物资物品。在赛前一天要进行全面清洁消毒</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在每个入口处提供免洗手消毒剂供参会人员入场时使用。</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d</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做好防疫工作培训，至少于赛前1天完成防疫常识和操作等内容的培训，开展必要的工作演练，确保工作人员掌握防疫基本技能和处置流程。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赛前，主办方对活动场地进行现场检查验收，对不符合疫情防控要求的跟进及时整改到位。</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（4）对接卫健委及区域公安分局。</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对接防疫防控工作领导小组办公室，上报防疫方案。对接公安部门做好相应备案。</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对接疾控中心。</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对接医疗部及定点医院。</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赛事中防疫措施实施</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（1）赛事相关人员进入活动场地要求。</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赛事当日，参赛人员须至少提前30分钟到达赛事地点，预留足够时间配合现场工作人员进行入场核验。进入场地时，参会人员须接受防疫安全检查，凭身份证确保人证合一、健康码绿码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当日更新</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，经体温查验</w:t>
      </w:r>
      <w:r w:rsidR="004D7EE6">
        <w:rPr>
          <w:rFonts w:ascii="仿宋_GB2312" w:eastAsia="仿宋_GB2312" w:hAnsi="仿宋_GB2312" w:cs="仿宋_GB2312"/>
          <w:bCs/>
          <w:kern w:val="2"/>
          <w:sz w:val="24"/>
          <w:szCs w:val="24"/>
          <w:lang w:val="en-US" w:bidi="ar-SA"/>
        </w:rPr>
        <w:t>＜</w:t>
      </w:r>
      <w:r>
        <w:rPr>
          <w:rFonts w:ascii="仿宋_GB2312" w:eastAsia="仿宋_GB2312" w:hAnsi="仿宋_GB2312" w:cs="仿宋_GB2312"/>
          <w:bCs/>
          <w:kern w:val="2"/>
          <w:sz w:val="24"/>
          <w:szCs w:val="24"/>
          <w:lang w:val="en-US" w:bidi="ar-SA"/>
        </w:rPr>
        <w:t>37.3°C的可进入活动场地。</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赛事当日“健康码”非绿码的赛事相关人员、赛事前28天内来自或途径国内疫情中高风险地区的赛事相关人员，不得参加赛事。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赛事当天出现体温≥37.3°C症状的人员，不得参加赛事。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lastRenderedPageBreak/>
        <w:t>d</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仍在隔离治疗期的确诊、疑似病例或无症状感染者，隔离期未满的密切接触者，来自或途径国内疫情中高风险、有国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外旅居史的未解除隔离者，不得参加赛事。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赛事相关人员自备口罩，除进入场地核验身份时须按要求摘戴口罩外，进出场地也应当全程佩戴口罩。进入场地时使用免洗手消毒剂进行手消毒。</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（2）工作人员进入场地要求。</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工作人员按要求提前到达场地。进入场地时，应戴口罩，主动出示“健康码”绿码</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当日更新</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，并积极配合体温检测。活动当天体温低于37.3°C方可进入活动场地。</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赛事当日“健康码”非绿码的工作人员、赛前14天内出现体温≥37.3°C症状的工作人员、赛前30天内自疫情中高风险地区或国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外返回</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或有旅行史</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的工作人员，不得参加赛事。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c</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仍在隔离治疗期的确诊、疑似病例或无症状感染者，隔离期未满的密切接触者，来自或途径国内疫情中高风险、有国</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境</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外旅居史的未解除隔离者，不得参加赛事。</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e</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赛事相关</w:t>
      </w:r>
      <w:r>
        <w:rPr>
          <w:rFonts w:ascii="仿宋_GB2312" w:eastAsia="仿宋_GB2312" w:hAnsi="仿宋_GB2312" w:cs="仿宋_GB2312" w:hint="eastAsia"/>
          <w:bCs/>
          <w:kern w:val="2"/>
          <w:sz w:val="24"/>
          <w:szCs w:val="24"/>
          <w:lang w:val="en-US" w:bidi="ar-SA"/>
        </w:rPr>
        <w:t>人员</w:t>
      </w:r>
      <w:r>
        <w:rPr>
          <w:rFonts w:ascii="仿宋_GB2312" w:eastAsia="仿宋_GB2312" w:hAnsi="仿宋_GB2312" w:cs="仿宋_GB2312"/>
          <w:bCs/>
          <w:kern w:val="2"/>
          <w:sz w:val="24"/>
          <w:szCs w:val="24"/>
          <w:lang w:val="en-US" w:bidi="ar-SA"/>
        </w:rPr>
        <w:t>全程佩戴口罩，随时使用免洗手消毒剂做好手卫生。</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（3）赛事中异常情况处置。</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赛事过程中，参赛人员若出现发烧、咳嗽、咽痛、呼吸困难、呕吐、腹泻等异常状况，应立即向现场工作人员报告，按照防疫相关程序处置，及时送到应急隔离点，同时联系提前选定的医院。</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（4）赛后防疫要求</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a</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赛后，组织参赛人员分批、有序离开场地，不得在场地附近逗留。</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bCs/>
          <w:kern w:val="2"/>
          <w:sz w:val="24"/>
          <w:szCs w:val="24"/>
          <w:lang w:val="en-US" w:bidi="ar-SA"/>
        </w:rPr>
        <w:t>b</w:t>
      </w:r>
      <w:r>
        <w:rPr>
          <w:rFonts w:ascii="仿宋_GB2312" w:eastAsia="仿宋_GB2312" w:hAnsi="仿宋_GB2312" w:cs="仿宋_GB2312" w:hint="eastAsia"/>
          <w:bCs/>
          <w:kern w:val="2"/>
          <w:sz w:val="24"/>
          <w:szCs w:val="24"/>
          <w:lang w:val="en-US" w:bidi="ar-SA"/>
        </w:rPr>
        <w:t>.</w:t>
      </w:r>
      <w:r>
        <w:rPr>
          <w:rFonts w:ascii="仿宋_GB2312" w:eastAsia="仿宋_GB2312" w:hAnsi="仿宋_GB2312" w:cs="仿宋_GB2312"/>
          <w:bCs/>
          <w:kern w:val="2"/>
          <w:sz w:val="24"/>
          <w:szCs w:val="24"/>
          <w:lang w:val="en-US" w:bidi="ar-SA"/>
        </w:rPr>
        <w:t>赛后，对场地进行全面清洁消毒。</w:t>
      </w:r>
    </w:p>
    <w:p w:rsidR="00587E98" w:rsidRDefault="003679C0" w:rsidP="00FB155A">
      <w:pPr>
        <w:pStyle w:val="1"/>
        <w:keepNext/>
        <w:keepLines/>
        <w:numPr>
          <w:ilvl w:val="0"/>
          <w:numId w:val="1"/>
        </w:numPr>
        <w:autoSpaceDE/>
        <w:autoSpaceDN/>
        <w:spacing w:beforeLines="100" w:afterLines="50" w:line="360" w:lineRule="auto"/>
        <w:ind w:left="0" w:firstLine="0"/>
        <w:jc w:val="both"/>
        <w:rPr>
          <w:rFonts w:ascii="黑体" w:eastAsia="黑体" w:hAnsi="黑体" w:cs="黑体"/>
          <w:kern w:val="44"/>
          <w:sz w:val="28"/>
          <w:szCs w:val="28"/>
          <w:lang w:val="en-US" w:bidi="ar-SA"/>
        </w:rPr>
      </w:pPr>
      <w:bookmarkStart w:id="45" w:name="_Toc13837"/>
      <w:r>
        <w:rPr>
          <w:rFonts w:ascii="黑体" w:eastAsia="黑体" w:hAnsi="黑体" w:cs="黑体" w:hint="eastAsia"/>
          <w:kern w:val="44"/>
          <w:sz w:val="28"/>
          <w:szCs w:val="28"/>
          <w:lang w:val="en-US" w:bidi="ar-SA"/>
        </w:rPr>
        <w:t>其他规定</w:t>
      </w:r>
      <w:bookmarkEnd w:id="45"/>
    </w:p>
    <w:p w:rsidR="00587E98" w:rsidRDefault="003679C0">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6" w:name="_Toc10322"/>
      <w:r>
        <w:rPr>
          <w:rFonts w:ascii="Arial" w:eastAsia="黑体" w:hAnsi="Arial" w:cstheme="minorBidi" w:hint="eastAsia"/>
          <w:b/>
          <w:kern w:val="2"/>
          <w:sz w:val="24"/>
          <w:szCs w:val="24"/>
          <w:lang w:val="en-US" w:bidi="ar-SA"/>
        </w:rPr>
        <w:t>参赛队伍须知</w:t>
      </w:r>
      <w:bookmarkEnd w:id="46"/>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1）参赛队员必须为同校在校学生，不得跨校组队，违者取消竞赛资格。</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熟悉竞赛规程和赛项须知，领队负责做好本参赛队竞赛期间的管理工作。参赛队员在报名获得审核确认后，原则上不再更换，如筹备过程中，队员因故不能参赛，须所在省级教育主管部门于相关赛项开赛5个工作日之前出具书面说明，经大赛执委会办公室核实后予以替换；参赛队员注册报到后，不得更换，允许队员缺席竞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3）竞赛前指定一名领队或指导教师抽签，确定竞赛顺序、出场竞赛等。</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4）参赛队按照大赛规程安排凭大赛组委会颁发的参赛证和有效身份证件参加竞赛及相关</w:t>
      </w:r>
      <w:r>
        <w:rPr>
          <w:rFonts w:ascii="仿宋_GB2312" w:eastAsia="仿宋_GB2312" w:hAnsi="仿宋_GB2312" w:cs="仿宋_GB2312" w:hint="eastAsia"/>
          <w:bCs/>
          <w:kern w:val="2"/>
          <w:sz w:val="24"/>
          <w:szCs w:val="24"/>
          <w:lang w:val="en-US" w:bidi="ar-SA"/>
        </w:rPr>
        <w:lastRenderedPageBreak/>
        <w:t>活动。</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5）参赛队员必须穿着大赛下发的服装。</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6）参赛队统一使用赛场提供的计算机、竞赛设备、设备附件和工具等。</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7）如在竞赛过程中出现特殊情况，由各代表队与现场工作人员协调联系和反映，不得以任何理由中断竞赛或中途带选手退场。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8）各参赛队必须按操作规程要求竞赛，在竞赛过程中不按操作要求，出现人为损坏赛项提供的设备情况，由参赛队照价赔偿。</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9）本竞赛项目的解释权归赛项执委会。</w:t>
      </w:r>
    </w:p>
    <w:p w:rsidR="00587E98" w:rsidRDefault="003679C0">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7" w:name="_Toc15187"/>
      <w:r>
        <w:rPr>
          <w:rFonts w:ascii="Arial" w:eastAsia="黑体" w:hAnsi="Arial" w:cstheme="minorBidi" w:hint="eastAsia"/>
          <w:b/>
          <w:kern w:val="2"/>
          <w:sz w:val="24"/>
          <w:szCs w:val="24"/>
          <w:lang w:val="en-US" w:bidi="ar-SA"/>
        </w:rPr>
        <w:t>指导教师须知</w:t>
      </w:r>
      <w:bookmarkEnd w:id="47"/>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1）每个参赛队最多可配指导教师2名，指导教师经报名、审核后确定，一经确定不得更换，允许指导教师缺席竞赛。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2）严格遵守赛场规章制度。竞赛过程中不得进入竞赛现场。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3）按时参加赛区组织的相关会议，并及时向队员传达会议精神。</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4）指导教师要做好本队参赛选手的有关组织工作，督促选手按组委会制定时间和地点报到；做好选手的后勤保障、安全工作。自觉维护赛场秩序。</w:t>
      </w:r>
    </w:p>
    <w:p w:rsidR="00587E98" w:rsidRDefault="003679C0">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8" w:name="_Toc7250"/>
      <w:r>
        <w:rPr>
          <w:rFonts w:ascii="Arial" w:eastAsia="黑体" w:hAnsi="Arial" w:cstheme="minorBidi" w:hint="eastAsia"/>
          <w:b/>
          <w:kern w:val="2"/>
          <w:sz w:val="24"/>
          <w:szCs w:val="24"/>
          <w:lang w:val="en-US" w:bidi="ar-SA"/>
        </w:rPr>
        <w:t>参赛选手须知</w:t>
      </w:r>
      <w:bookmarkEnd w:id="48"/>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1）参赛选手应严格遵守赛场规章、操作规程，保证人身及设备安全，接受裁判员的监督和警示，文明竞赛。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2）选手在赛场内应始终佩带参赛凭证。</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3）参赛队员应自觉遵守赛场纪律，服从裁判、听从指挥、文明竞赛。禁止将通讯工具带入赛场。</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4）竞赛准备阶段时，各参赛队自行决定分工、工作程序和时间安排，在指定赛位上完成竞赛准备工作。</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5）竞赛过程中，因严重操作失误或安全事故不能进行竞赛的（例如测绘仪器出现摔坏等），现场裁判员有权中止该队竞赛。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6）在竞赛过程中，参赛选手不得故意干扰其他队的竞赛。</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7）参赛选手按竞赛规定进行观测、记录的轮换。</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8）选手在收到开赛信号前不得开始操作，上交成果时，队长应与分项裁判长共同在任务完成确认表上签字，竞赛计时结束。</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lastRenderedPageBreak/>
        <w:t>9）在竞赛中因非人为因素造成的设备故障，经仪器检修工程师确认、经裁判确认后，可向裁判长申请重测或补足排除故障的时间。</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10）选手必须参加赛项执委会组织的座谈、报告会等活动。</w:t>
      </w:r>
    </w:p>
    <w:p w:rsidR="00587E98" w:rsidRDefault="003679C0">
      <w:pPr>
        <w:pStyle w:val="2"/>
        <w:keepNext/>
        <w:keepLines/>
        <w:numPr>
          <w:ilvl w:val="0"/>
          <w:numId w:val="8"/>
        </w:numPr>
        <w:autoSpaceDE/>
        <w:autoSpaceDN/>
        <w:spacing w:line="360" w:lineRule="auto"/>
        <w:ind w:left="0"/>
        <w:jc w:val="both"/>
        <w:rPr>
          <w:rFonts w:ascii="Arial" w:eastAsia="黑体" w:hAnsi="Arial" w:cstheme="minorBidi"/>
          <w:b/>
          <w:kern w:val="2"/>
          <w:sz w:val="24"/>
          <w:szCs w:val="24"/>
          <w:lang w:val="en-US" w:bidi="ar-SA"/>
        </w:rPr>
      </w:pPr>
      <w:bookmarkStart w:id="49" w:name="_Toc25854"/>
      <w:r>
        <w:rPr>
          <w:rFonts w:ascii="Arial" w:eastAsia="黑体" w:hAnsi="Arial" w:cstheme="minorBidi" w:hint="eastAsia"/>
          <w:b/>
          <w:kern w:val="2"/>
          <w:sz w:val="24"/>
          <w:szCs w:val="24"/>
          <w:lang w:val="en-US" w:bidi="ar-SA"/>
        </w:rPr>
        <w:t>工作人员须知</w:t>
      </w:r>
      <w:bookmarkEnd w:id="49"/>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1）树立服务观念，一切为选手着想，以高度负责的精神、严肃认真的态度和严谨细致的作风，积极完成本职任务。</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2）注意文明礼貌，保持良好形象，熟悉竞赛指南。</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3）赛前30分钟到达赛场，严守工作岗位，不迟到，不早退，不无故离岗，特殊情况需向赛区赛项执委会办公室主任请假。</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4）熟悉竞赛规程，严格按照工作程序和有关规定办事，遇突发事件，按照安全工作预案，组织指挥人员疏散，确保人员安全。</w:t>
      </w:r>
    </w:p>
    <w:p w:rsidR="00587E98" w:rsidRDefault="003679C0">
      <w:pPr>
        <w:autoSpaceDE/>
        <w:autoSpaceDN/>
        <w:spacing w:line="360" w:lineRule="auto"/>
        <w:ind w:firstLineChars="200" w:firstLine="480"/>
        <w:jc w:val="both"/>
        <w:rPr>
          <w:rFonts w:ascii="仿宋_GB2312" w:eastAsia="仿宋_GB2312" w:hAnsi="仿宋_GB2312" w:cs="仿宋_GB2312"/>
          <w:bCs/>
          <w:kern w:val="2"/>
          <w:sz w:val="24"/>
          <w:szCs w:val="24"/>
          <w:lang w:val="en-US" w:bidi="ar-SA"/>
        </w:rPr>
      </w:pPr>
      <w:r>
        <w:rPr>
          <w:rFonts w:ascii="仿宋_GB2312" w:eastAsia="仿宋_GB2312" w:hAnsi="仿宋_GB2312" w:cs="仿宋_GB2312" w:hint="eastAsia"/>
          <w:bCs/>
          <w:kern w:val="2"/>
          <w:sz w:val="24"/>
          <w:szCs w:val="24"/>
          <w:lang w:val="en-US" w:bidi="ar-SA"/>
        </w:rPr>
        <w:t>5）保持通信畅通，服从统一领导，严格遵守竞赛纪律，加强协作配合，提高工作效率。</w:t>
      </w:r>
    </w:p>
    <w:sectPr w:rsidR="00587E98" w:rsidSect="00587E98">
      <w:footerReference w:type="default" r:id="rId10"/>
      <w:pgSz w:w="11900" w:h="16840"/>
      <w:pgMar w:top="1440" w:right="1080" w:bottom="1440" w:left="1080" w:header="0" w:footer="11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255" w:rsidRDefault="00682255" w:rsidP="00587E98">
      <w:r>
        <w:separator/>
      </w:r>
    </w:p>
  </w:endnote>
  <w:endnote w:type="continuationSeparator" w:id="0">
    <w:p w:rsidR="00682255" w:rsidRDefault="00682255" w:rsidP="0058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98" w:rsidRDefault="00587E98">
    <w:pPr>
      <w:pStyle w:val="a4"/>
      <w:spacing w:before="0" w:line="14" w:lineRule="auto"/>
      <w:ind w:left="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98" w:rsidRDefault="006A67E3">
    <w:pPr>
      <w:pStyle w:val="a4"/>
      <w:spacing w:before="0" w:line="14" w:lineRule="auto"/>
      <w:ind w:left="0"/>
      <w:rPr>
        <w:sz w:val="17"/>
      </w:rPr>
    </w:pPr>
    <w:r w:rsidRPr="006A67E3">
      <w:pict>
        <v:shapetype id="_x0000_t202" coordsize="21600,21600" o:spt="202" path="m,l,21600r21600,l21600,xe">
          <v:stroke joinstyle="miter"/>
          <v:path gradientshapeok="t" o:connecttype="rect"/>
        </v:shapetype>
        <v:shape id="_x0000_s4098" type="#_x0000_t202" style="position:absolute;margin-left:298.2pt;margin-top:770.8pt;width:13.1pt;height:12pt;z-index:-251658752;mso-position-horizontal-relative:page;mso-position-vertical-relative:page" filled="f" stroked="f">
          <v:textbox inset="0,0,0,0">
            <w:txbxContent>
              <w:p w:rsidR="00587E98" w:rsidRDefault="006A67E3">
                <w:pPr>
                  <w:spacing w:before="12"/>
                  <w:ind w:left="40"/>
                  <w:rPr>
                    <w:rFonts w:ascii="Times New Roman"/>
                    <w:sz w:val="18"/>
                  </w:rPr>
                </w:pPr>
                <w:r>
                  <w:fldChar w:fldCharType="begin"/>
                </w:r>
                <w:r w:rsidR="003679C0">
                  <w:rPr>
                    <w:rFonts w:ascii="Times New Roman"/>
                    <w:sz w:val="18"/>
                  </w:rPr>
                  <w:instrText xml:space="preserve"> PAGE </w:instrText>
                </w:r>
                <w:r>
                  <w:fldChar w:fldCharType="separate"/>
                </w:r>
                <w:r w:rsidR="000F0D2F">
                  <w:rPr>
                    <w:rFonts w:ascii="Times New Roman"/>
                    <w:noProof/>
                    <w:sz w:val="18"/>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255" w:rsidRDefault="00682255" w:rsidP="00587E98">
      <w:r>
        <w:separator/>
      </w:r>
    </w:p>
  </w:footnote>
  <w:footnote w:type="continuationSeparator" w:id="0">
    <w:p w:rsidR="00682255" w:rsidRDefault="00682255" w:rsidP="0058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2E" w:rsidRDefault="009B722E">
    <w:pPr>
      <w:pStyle w:val="a6"/>
      <w:jc w:val="right"/>
      <w:rPr>
        <w:lang w:val="en-US"/>
      </w:rPr>
    </w:pPr>
  </w:p>
  <w:p w:rsidR="009B722E" w:rsidRDefault="009B722E">
    <w:pPr>
      <w:pStyle w:val="a6"/>
      <w:jc w:val="right"/>
      <w:rPr>
        <w:lang w:val="en-US"/>
      </w:rPr>
    </w:pPr>
  </w:p>
  <w:p w:rsidR="009B722E" w:rsidRDefault="009B722E">
    <w:pPr>
      <w:pStyle w:val="a6"/>
      <w:jc w:val="right"/>
      <w:rPr>
        <w:lang w:val="en-US"/>
      </w:rPr>
    </w:pPr>
  </w:p>
  <w:p w:rsidR="00587E98" w:rsidRDefault="003679C0">
    <w:pPr>
      <w:pStyle w:val="a6"/>
      <w:jc w:val="right"/>
      <w:rPr>
        <w:lang w:val="en-US"/>
      </w:rPr>
    </w:pPr>
    <w:r>
      <w:rPr>
        <w:rFonts w:hint="eastAsia"/>
        <w:lang w:val="en-US"/>
      </w:rPr>
      <w:t>2022年全省职业院校技能大赛高职学生组土木工程无损检测赛项竞赛规程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DCE1F"/>
    <w:multiLevelType w:val="singleLevel"/>
    <w:tmpl w:val="9A1DCE1F"/>
    <w:lvl w:ilvl="0">
      <w:start w:val="1"/>
      <w:numFmt w:val="decimal"/>
      <w:lvlText w:val="%1)"/>
      <w:lvlJc w:val="left"/>
      <w:pPr>
        <w:ind w:left="425" w:hanging="425"/>
      </w:pPr>
      <w:rPr>
        <w:rFonts w:hint="default"/>
      </w:rPr>
    </w:lvl>
  </w:abstractNum>
  <w:abstractNum w:abstractNumId="1">
    <w:nsid w:val="C2034842"/>
    <w:multiLevelType w:val="singleLevel"/>
    <w:tmpl w:val="C2034842"/>
    <w:lvl w:ilvl="0">
      <w:start w:val="1"/>
      <w:numFmt w:val="chineseCounting"/>
      <w:suff w:val="nothing"/>
      <w:lvlText w:val="%1、"/>
      <w:lvlJc w:val="left"/>
      <w:rPr>
        <w:rFonts w:hint="eastAsia"/>
      </w:rPr>
    </w:lvl>
  </w:abstractNum>
  <w:abstractNum w:abstractNumId="2">
    <w:nsid w:val="D87B08DA"/>
    <w:multiLevelType w:val="singleLevel"/>
    <w:tmpl w:val="D87B08DA"/>
    <w:lvl w:ilvl="0">
      <w:start w:val="1"/>
      <w:numFmt w:val="chineseCounting"/>
      <w:suff w:val="nothing"/>
      <w:lvlText w:val="（%1）"/>
      <w:lvlJc w:val="left"/>
      <w:rPr>
        <w:rFonts w:hint="eastAsia"/>
      </w:rPr>
    </w:lvl>
  </w:abstractNum>
  <w:abstractNum w:abstractNumId="3">
    <w:nsid w:val="DA1F30A0"/>
    <w:multiLevelType w:val="singleLevel"/>
    <w:tmpl w:val="DA1F30A0"/>
    <w:lvl w:ilvl="0">
      <w:start w:val="1"/>
      <w:numFmt w:val="chineseCounting"/>
      <w:suff w:val="nothing"/>
      <w:lvlText w:val="（%1）"/>
      <w:lvlJc w:val="left"/>
      <w:rPr>
        <w:rFonts w:hint="eastAsia"/>
      </w:rPr>
    </w:lvl>
  </w:abstractNum>
  <w:abstractNum w:abstractNumId="4">
    <w:nsid w:val="F1E14026"/>
    <w:multiLevelType w:val="singleLevel"/>
    <w:tmpl w:val="F1E14026"/>
    <w:lvl w:ilvl="0">
      <w:start w:val="1"/>
      <w:numFmt w:val="chineseCounting"/>
      <w:suff w:val="nothing"/>
      <w:lvlText w:val="（%1）"/>
      <w:lvlJc w:val="left"/>
      <w:rPr>
        <w:rFonts w:hint="eastAsia"/>
      </w:rPr>
    </w:lvl>
  </w:abstractNum>
  <w:abstractNum w:abstractNumId="5">
    <w:nsid w:val="F76E2F05"/>
    <w:multiLevelType w:val="singleLevel"/>
    <w:tmpl w:val="F76E2F05"/>
    <w:lvl w:ilvl="0">
      <w:start w:val="1"/>
      <w:numFmt w:val="chineseCounting"/>
      <w:suff w:val="nothing"/>
      <w:lvlText w:val="（%1）"/>
      <w:lvlJc w:val="left"/>
      <w:rPr>
        <w:rFonts w:hint="eastAsia"/>
      </w:rPr>
    </w:lvl>
  </w:abstractNum>
  <w:abstractNum w:abstractNumId="6">
    <w:nsid w:val="3617C42A"/>
    <w:multiLevelType w:val="singleLevel"/>
    <w:tmpl w:val="3617C42A"/>
    <w:lvl w:ilvl="0">
      <w:start w:val="1"/>
      <w:numFmt w:val="decimal"/>
      <w:lvlText w:val="%1)"/>
      <w:lvlJc w:val="left"/>
      <w:pPr>
        <w:ind w:left="425" w:hanging="425"/>
      </w:pPr>
      <w:rPr>
        <w:rFonts w:hint="default"/>
      </w:rPr>
    </w:lvl>
  </w:abstractNum>
  <w:abstractNum w:abstractNumId="7">
    <w:nsid w:val="7544FC7B"/>
    <w:multiLevelType w:val="singleLevel"/>
    <w:tmpl w:val="7544FC7B"/>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rsids>
    <w:rsidRoot w:val="00E92B08"/>
    <w:rsid w:val="0000727E"/>
    <w:rsid w:val="000B2F53"/>
    <w:rsid w:val="000F0D2F"/>
    <w:rsid w:val="000F4BD5"/>
    <w:rsid w:val="00105B89"/>
    <w:rsid w:val="00141821"/>
    <w:rsid w:val="00146832"/>
    <w:rsid w:val="0016209A"/>
    <w:rsid w:val="001B2C03"/>
    <w:rsid w:val="002C4DBA"/>
    <w:rsid w:val="00343835"/>
    <w:rsid w:val="003545E4"/>
    <w:rsid w:val="00362BC2"/>
    <w:rsid w:val="003679C0"/>
    <w:rsid w:val="00384CA1"/>
    <w:rsid w:val="004D7EE6"/>
    <w:rsid w:val="005306CC"/>
    <w:rsid w:val="00587E98"/>
    <w:rsid w:val="00590497"/>
    <w:rsid w:val="005D1E30"/>
    <w:rsid w:val="00682255"/>
    <w:rsid w:val="006A67E3"/>
    <w:rsid w:val="006E5E4D"/>
    <w:rsid w:val="00756E3E"/>
    <w:rsid w:val="00771E56"/>
    <w:rsid w:val="00814961"/>
    <w:rsid w:val="00892348"/>
    <w:rsid w:val="008B694F"/>
    <w:rsid w:val="008E233D"/>
    <w:rsid w:val="00960716"/>
    <w:rsid w:val="009B722E"/>
    <w:rsid w:val="009D77F8"/>
    <w:rsid w:val="009E2733"/>
    <w:rsid w:val="00A10826"/>
    <w:rsid w:val="00A961DF"/>
    <w:rsid w:val="00B04254"/>
    <w:rsid w:val="00C1037E"/>
    <w:rsid w:val="00C12723"/>
    <w:rsid w:val="00C231AB"/>
    <w:rsid w:val="00DE4957"/>
    <w:rsid w:val="00E41C53"/>
    <w:rsid w:val="00E84D18"/>
    <w:rsid w:val="00E92B08"/>
    <w:rsid w:val="00EA5B25"/>
    <w:rsid w:val="00EF6037"/>
    <w:rsid w:val="00EF6B4D"/>
    <w:rsid w:val="00F864D5"/>
    <w:rsid w:val="00FB155A"/>
    <w:rsid w:val="00FD549F"/>
    <w:rsid w:val="06531E9E"/>
    <w:rsid w:val="0709579E"/>
    <w:rsid w:val="09403284"/>
    <w:rsid w:val="0C042D62"/>
    <w:rsid w:val="205938D7"/>
    <w:rsid w:val="22BF019E"/>
    <w:rsid w:val="25580CAE"/>
    <w:rsid w:val="25720C5B"/>
    <w:rsid w:val="25CD442D"/>
    <w:rsid w:val="26BD3B23"/>
    <w:rsid w:val="298D47F5"/>
    <w:rsid w:val="33F713D6"/>
    <w:rsid w:val="362D1A8A"/>
    <w:rsid w:val="38D8439C"/>
    <w:rsid w:val="41754DE9"/>
    <w:rsid w:val="43274E06"/>
    <w:rsid w:val="4A6A165B"/>
    <w:rsid w:val="50AD1551"/>
    <w:rsid w:val="565A16FE"/>
    <w:rsid w:val="59284A4C"/>
    <w:rsid w:val="5BC55767"/>
    <w:rsid w:val="5CB52885"/>
    <w:rsid w:val="5FBF6FC4"/>
    <w:rsid w:val="6759670F"/>
    <w:rsid w:val="6B84400B"/>
    <w:rsid w:val="6D4A6724"/>
    <w:rsid w:val="6E990871"/>
    <w:rsid w:val="78C35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uiPriority w:val="1"/>
    <w:qFormat/>
    <w:rsid w:val="00587E98"/>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rsid w:val="00587E98"/>
    <w:pPr>
      <w:spacing w:before="153"/>
      <w:ind w:left="398" w:hanging="239"/>
      <w:outlineLvl w:val="0"/>
    </w:pPr>
    <w:rPr>
      <w:b/>
      <w:bCs/>
      <w:sz w:val="30"/>
      <w:szCs w:val="30"/>
    </w:rPr>
  </w:style>
  <w:style w:type="paragraph" w:styleId="2">
    <w:name w:val="heading 2"/>
    <w:basedOn w:val="a"/>
    <w:next w:val="a"/>
    <w:uiPriority w:val="1"/>
    <w:qFormat/>
    <w:rsid w:val="00587E98"/>
    <w:pPr>
      <w:spacing w:before="174"/>
      <w:ind w:left="398"/>
      <w:outlineLvl w:val="1"/>
    </w:pPr>
    <w:rPr>
      <w:sz w:val="30"/>
      <w:szCs w:val="30"/>
    </w:rPr>
  </w:style>
  <w:style w:type="paragraph" w:styleId="3">
    <w:name w:val="heading 3"/>
    <w:basedOn w:val="a"/>
    <w:next w:val="a"/>
    <w:uiPriority w:val="1"/>
    <w:qFormat/>
    <w:rsid w:val="00587E98"/>
    <w:pPr>
      <w:spacing w:before="200"/>
      <w:ind w:left="99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587E98"/>
    <w:pPr>
      <w:widowControl/>
      <w:tabs>
        <w:tab w:val="left" w:pos="-720"/>
      </w:tabs>
      <w:spacing w:after="120"/>
    </w:pPr>
    <w:rPr>
      <w:spacing w:val="-3"/>
      <w:sz w:val="24"/>
      <w:lang w:val="en-AU" w:eastAsia="en-US"/>
    </w:rPr>
  </w:style>
  <w:style w:type="paragraph" w:styleId="a3">
    <w:name w:val="Normal Indent"/>
    <w:basedOn w:val="a"/>
    <w:semiHidden/>
    <w:qFormat/>
    <w:rsid w:val="00587E98"/>
    <w:pPr>
      <w:ind w:firstLine="420"/>
    </w:pPr>
    <w:rPr>
      <w:szCs w:val="20"/>
    </w:rPr>
  </w:style>
  <w:style w:type="paragraph" w:styleId="a4">
    <w:name w:val="Body Text"/>
    <w:basedOn w:val="a"/>
    <w:uiPriority w:val="1"/>
    <w:qFormat/>
    <w:rsid w:val="00587E98"/>
    <w:pPr>
      <w:spacing w:before="200"/>
      <w:ind w:left="398"/>
    </w:pPr>
    <w:rPr>
      <w:sz w:val="28"/>
      <w:szCs w:val="28"/>
    </w:rPr>
  </w:style>
  <w:style w:type="paragraph" w:styleId="30">
    <w:name w:val="toc 3"/>
    <w:basedOn w:val="a"/>
    <w:next w:val="a"/>
    <w:qFormat/>
    <w:rsid w:val="00587E98"/>
    <w:pPr>
      <w:ind w:leftChars="400" w:left="840"/>
    </w:pPr>
  </w:style>
  <w:style w:type="paragraph" w:styleId="a5">
    <w:name w:val="footer"/>
    <w:basedOn w:val="a"/>
    <w:link w:val="Char"/>
    <w:qFormat/>
    <w:rsid w:val="00587E98"/>
    <w:pPr>
      <w:tabs>
        <w:tab w:val="center" w:pos="4153"/>
        <w:tab w:val="right" w:pos="8306"/>
      </w:tabs>
      <w:snapToGrid w:val="0"/>
    </w:pPr>
    <w:rPr>
      <w:sz w:val="18"/>
      <w:szCs w:val="18"/>
    </w:rPr>
  </w:style>
  <w:style w:type="paragraph" w:styleId="a6">
    <w:name w:val="header"/>
    <w:basedOn w:val="a"/>
    <w:link w:val="Char0"/>
    <w:qFormat/>
    <w:rsid w:val="00587E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87E98"/>
  </w:style>
  <w:style w:type="paragraph" w:styleId="20">
    <w:name w:val="toc 2"/>
    <w:basedOn w:val="a"/>
    <w:next w:val="a"/>
    <w:qFormat/>
    <w:rsid w:val="00587E98"/>
    <w:pPr>
      <w:ind w:leftChars="200" w:left="420"/>
    </w:pPr>
  </w:style>
  <w:style w:type="table" w:styleId="a7">
    <w:name w:val="Table Grid"/>
    <w:basedOn w:val="a1"/>
    <w:uiPriority w:val="39"/>
    <w:qFormat/>
    <w:rsid w:val="00587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587E98"/>
    <w:tblPr>
      <w:tblCellMar>
        <w:top w:w="0" w:type="dxa"/>
        <w:left w:w="0" w:type="dxa"/>
        <w:bottom w:w="0" w:type="dxa"/>
        <w:right w:w="0" w:type="dxa"/>
      </w:tblCellMar>
    </w:tblPr>
  </w:style>
  <w:style w:type="paragraph" w:customStyle="1" w:styleId="11">
    <w:name w:val="列表段落1"/>
    <w:basedOn w:val="a"/>
    <w:uiPriority w:val="1"/>
    <w:qFormat/>
    <w:rsid w:val="00587E98"/>
    <w:pPr>
      <w:spacing w:before="200"/>
      <w:ind w:left="398" w:hanging="284"/>
    </w:pPr>
  </w:style>
  <w:style w:type="paragraph" w:customStyle="1" w:styleId="TableParagraph">
    <w:name w:val="Table Paragraph"/>
    <w:basedOn w:val="a"/>
    <w:uiPriority w:val="1"/>
    <w:qFormat/>
    <w:rsid w:val="00587E98"/>
  </w:style>
  <w:style w:type="paragraph" w:styleId="a8">
    <w:name w:val="List Paragraph"/>
    <w:basedOn w:val="a"/>
    <w:uiPriority w:val="99"/>
    <w:qFormat/>
    <w:rsid w:val="00587E98"/>
    <w:pPr>
      <w:ind w:firstLineChars="200" w:firstLine="420"/>
    </w:pPr>
  </w:style>
  <w:style w:type="character" w:customStyle="1" w:styleId="Char0">
    <w:name w:val="页眉 Char"/>
    <w:basedOn w:val="a0"/>
    <w:link w:val="a6"/>
    <w:qFormat/>
    <w:rsid w:val="00587E98"/>
    <w:rPr>
      <w:rFonts w:ascii="楷体" w:eastAsia="楷体" w:hAnsi="楷体" w:cs="楷体"/>
      <w:sz w:val="18"/>
      <w:szCs w:val="18"/>
      <w:lang w:val="zh-CN" w:bidi="zh-CN"/>
    </w:rPr>
  </w:style>
  <w:style w:type="character" w:customStyle="1" w:styleId="Char">
    <w:name w:val="页脚 Char"/>
    <w:basedOn w:val="a0"/>
    <w:link w:val="a5"/>
    <w:qFormat/>
    <w:rsid w:val="00587E98"/>
    <w:rPr>
      <w:rFonts w:ascii="楷体" w:eastAsia="楷体" w:hAnsi="楷体" w:cs="楷体"/>
      <w:sz w:val="18"/>
      <w:szCs w:val="18"/>
      <w:lang w:val="zh-CN" w:bidi="zh-CN"/>
    </w:rPr>
  </w:style>
  <w:style w:type="paragraph" w:customStyle="1" w:styleId="WPSOffice1">
    <w:name w:val="WPSOffice手动目录 1"/>
    <w:qFormat/>
    <w:rsid w:val="00587E98"/>
    <w:rPr>
      <w:rFonts w:asciiTheme="minorHAnsi" w:eastAsiaTheme="minorEastAsia" w:hAnsiTheme="minorHAnsi" w:cstheme="minorBidi"/>
    </w:rPr>
  </w:style>
  <w:style w:type="paragraph" w:customStyle="1" w:styleId="WPSOffice2">
    <w:name w:val="WPSOffice手动目录 2"/>
    <w:qFormat/>
    <w:rsid w:val="00587E98"/>
    <w:pPr>
      <w:ind w:leftChars="200" w:left="200"/>
    </w:pPr>
    <w:rPr>
      <w:rFonts w:asciiTheme="minorHAnsi" w:eastAsiaTheme="minorEastAsia" w:hAnsiTheme="minorHAnsi" w:cstheme="minorBidi"/>
    </w:rPr>
  </w:style>
  <w:style w:type="paragraph" w:customStyle="1" w:styleId="WPSOffice3">
    <w:name w:val="WPSOffice手动目录 3"/>
    <w:qFormat/>
    <w:rsid w:val="00587E98"/>
    <w:pPr>
      <w:ind w:leftChars="400" w:left="400"/>
    </w:pPr>
    <w:rPr>
      <w:rFonts w:asciiTheme="minorHAnsi" w:eastAsiaTheme="minorEastAsia" w:hAnsiTheme="minorHAnsi" w:cstheme="minorBidi"/>
    </w:rPr>
  </w:style>
  <w:style w:type="paragraph" w:styleId="a9">
    <w:name w:val="Balloon Text"/>
    <w:basedOn w:val="a"/>
    <w:link w:val="Char1"/>
    <w:rsid w:val="009B722E"/>
    <w:rPr>
      <w:sz w:val="18"/>
      <w:szCs w:val="18"/>
    </w:rPr>
  </w:style>
  <w:style w:type="character" w:customStyle="1" w:styleId="Char1">
    <w:name w:val="批注框文本 Char"/>
    <w:basedOn w:val="a0"/>
    <w:link w:val="a9"/>
    <w:rsid w:val="009B722E"/>
    <w:rPr>
      <w:rFonts w:ascii="楷体" w:eastAsia="楷体" w:hAnsi="楷体" w:cs="楷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2018测绘赛项规程</dc:title>
  <dc:creator>hp</dc:creator>
  <cp:lastModifiedBy>Administrator</cp:lastModifiedBy>
  <cp:revision>35</cp:revision>
  <dcterms:created xsi:type="dcterms:W3CDTF">2021-03-18T01:41:00Z</dcterms:created>
  <dcterms:modified xsi:type="dcterms:W3CDTF">2022-03-03T09:33:00Z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pdfFactory Pro www.pdffactory.com</vt:lpwstr>
  </property>
  <property fmtid="{D5CDD505-2E9C-101B-9397-08002B2CF9AE}" pid="4" name="LastSaved">
    <vt:filetime>2021-03-13T00:00:00Z</vt:filetime>
  </property>
  <property fmtid="{D5CDD505-2E9C-101B-9397-08002B2CF9AE}" pid="5" name="KSOProductBuildVer">
    <vt:lpwstr>2052-11.1.0.11365</vt:lpwstr>
  </property>
  <property fmtid="{D5CDD505-2E9C-101B-9397-08002B2CF9AE}" pid="6" name="ICV">
    <vt:lpwstr>2B92ADD4BCC34948A27AECB6ADFA2EF9</vt:lpwstr>
  </property>
</Properties>
</file>