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76" w:lineRule="auto"/>
        <w:jc w:val="center"/>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rPr>
        <w:t>2022年</w:t>
      </w:r>
      <w:r>
        <w:rPr>
          <w:rFonts w:hint="eastAsia" w:ascii="仿宋" w:hAnsi="仿宋" w:eastAsia="仿宋" w:cs="仿宋"/>
          <w:b/>
          <w:bCs/>
          <w:kern w:val="0"/>
          <w:sz w:val="32"/>
          <w:szCs w:val="32"/>
          <w:lang w:val="en-US" w:eastAsia="zh-CN"/>
        </w:rPr>
        <w:t>全省职业院校技能大赛高职组</w:t>
      </w:r>
    </w:p>
    <w:p>
      <w:pPr>
        <w:adjustRightInd w:val="0"/>
        <w:snapToGrid w:val="0"/>
        <w:spacing w:line="276" w:lineRule="auto"/>
        <w:jc w:val="center"/>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供应链运营与管理创新赛项</w:t>
      </w:r>
      <w:r>
        <w:rPr>
          <w:rFonts w:hint="eastAsia" w:ascii="仿宋" w:hAnsi="仿宋" w:eastAsia="仿宋" w:cs="仿宋"/>
          <w:b/>
          <w:bCs/>
          <w:kern w:val="0"/>
          <w:sz w:val="32"/>
          <w:szCs w:val="32"/>
        </w:rPr>
        <w:t>竞赛规程</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rPr>
      </w:pPr>
      <w:r>
        <w:rPr>
          <w:rFonts w:hint="eastAsia" w:ascii="仿宋" w:hAnsi="仿宋" w:eastAsia="仿宋" w:cs="仿宋"/>
          <w:b/>
          <w:color w:val="000000"/>
          <w:kern w:val="0"/>
          <w:sz w:val="28"/>
          <w:szCs w:val="28"/>
        </w:rPr>
        <w:t>一、赛项名称</w:t>
      </w:r>
    </w:p>
    <w:p>
      <w:pPr>
        <w:adjustRightInd w:val="0"/>
        <w:snapToGrid w:val="0"/>
        <w:spacing w:line="440" w:lineRule="exact"/>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赛项名称：供应链运营与管理创新</w:t>
      </w:r>
    </w:p>
    <w:p>
      <w:pPr>
        <w:adjustRightInd w:val="0"/>
        <w:snapToGrid w:val="0"/>
        <w:spacing w:line="440" w:lineRule="exact"/>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赛项组别：高职组</w:t>
      </w:r>
    </w:p>
    <w:p>
      <w:pPr>
        <w:adjustRightInd w:val="0"/>
        <w:snapToGrid w:val="0"/>
        <w:spacing w:line="440" w:lineRule="exact"/>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赛项归属：财经商贸类</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rPr>
      </w:pPr>
      <w:bookmarkStart w:id="0" w:name="_Toc23311"/>
      <w:r>
        <w:rPr>
          <w:rFonts w:hint="eastAsia" w:ascii="仿宋" w:hAnsi="仿宋" w:eastAsia="仿宋" w:cs="仿宋"/>
          <w:b/>
          <w:color w:val="000000"/>
          <w:kern w:val="0"/>
          <w:sz w:val="28"/>
          <w:szCs w:val="28"/>
        </w:rPr>
        <w:t>二、竞赛目的</w:t>
      </w:r>
      <w:bookmarkEnd w:id="0"/>
    </w:p>
    <w:p>
      <w:pPr>
        <w:adjustRightInd w:val="0"/>
        <w:snapToGrid w:val="0"/>
        <w:spacing w:line="440" w:lineRule="exact"/>
        <w:ind w:firstLine="480" w:firstLineChars="200"/>
        <w:rPr>
          <w:rFonts w:hint="eastAsia" w:ascii="仿宋" w:hAnsi="仿宋" w:eastAsia="仿宋" w:cs="Arial"/>
          <w:color w:val="000000"/>
          <w:kern w:val="0"/>
          <w:sz w:val="24"/>
          <w:szCs w:val="24"/>
          <w:lang w:eastAsia="zh-CN"/>
        </w:rPr>
      </w:pPr>
      <w:r>
        <w:rPr>
          <w:rFonts w:hint="eastAsia" w:ascii="仿宋" w:hAnsi="仿宋" w:eastAsia="仿宋" w:cs="Arial"/>
          <w:color w:val="000000"/>
          <w:kern w:val="0"/>
          <w:sz w:val="24"/>
          <w:szCs w:val="24"/>
        </w:rPr>
        <w:t>竞赛仿真中国的虚拟商业生态环境，参赛队员可以围绕一项具有市场潜力的产品或服务，组成优势互补的</w:t>
      </w:r>
      <w:r>
        <w:rPr>
          <w:rFonts w:hint="eastAsia" w:ascii="仿宋" w:hAnsi="仿宋" w:eastAsia="仿宋" w:cs="Arial"/>
          <w:color w:val="000000"/>
          <w:kern w:val="0"/>
          <w:sz w:val="24"/>
          <w:szCs w:val="24"/>
          <w:lang w:val="en-US" w:eastAsia="zh-CN"/>
        </w:rPr>
        <w:t>运营</w:t>
      </w:r>
      <w:r>
        <w:rPr>
          <w:rFonts w:hint="eastAsia" w:ascii="仿宋" w:hAnsi="仿宋" w:eastAsia="仿宋" w:cs="Arial"/>
          <w:color w:val="000000"/>
          <w:kern w:val="0"/>
          <w:sz w:val="24"/>
          <w:szCs w:val="24"/>
        </w:rPr>
        <w:t>团队，通过市场调研、分析，形成规范系统、具有可操作性和说服力的商业计划，并通过虚拟商业生态平台进行实践，不断完善商业计划</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竞赛内容围绕商业计划中的执行摘要、项目可行性、产品或服务的创新性、市场分析、营销策略、财务规划、团队管理、风险预案等必要模块进行设置，培养参赛选手合格的企业管理能力，通过竞赛对抗的形式，为选手创造充分竞争的商业计划实施环境，锻炼选手在市场竞争环境下的应变能力，使其感悟在复杂市场营销环境下如何发现机遇、分析问题、制定决策、执行决策及解决问题</w:t>
      </w:r>
      <w:r>
        <w:rPr>
          <w:rFonts w:hint="eastAsia" w:ascii="仿宋" w:hAnsi="仿宋" w:eastAsia="仿宋" w:cs="Arial"/>
          <w:color w:val="000000"/>
          <w:kern w:val="0"/>
          <w:sz w:val="24"/>
          <w:szCs w:val="24"/>
          <w:lang w:eastAsia="zh-CN"/>
        </w:rPr>
        <w:t>。</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竞赛中，参赛选手会运用到供应链管理、物流管理、市场营销学、企业管理、统计分析、财务会计、EXCEL工具运用、市场调查与分析、消费心理学等多门财经商贸类专业的核心课程综合知识。参赛选手将遇到企业经营中常出现的各种典型问题以及市场中变幻莫测的各种情况，使其感悟复杂市场营销环境下如何发现机遇、分析问题、制定决策、执行决策及解决问题，进而提升参赛选手学会工作、学会思考等方面的职业素养。通过对供应链运营管理的仿真模拟及运营规划创新设计，提升相关专业学生的供应链管理技能水平及运营管理意识，进而提升参赛选手的创新思维和</w:t>
      </w:r>
      <w:r>
        <w:rPr>
          <w:rFonts w:hint="eastAsia" w:ascii="仿宋" w:hAnsi="仿宋" w:eastAsia="仿宋" w:cs="Arial"/>
          <w:color w:val="000000"/>
          <w:kern w:val="0"/>
          <w:sz w:val="24"/>
          <w:szCs w:val="24"/>
          <w:lang w:val="en-US" w:eastAsia="zh-CN"/>
        </w:rPr>
        <w:t>供应链运营</w:t>
      </w:r>
      <w:r>
        <w:rPr>
          <w:rFonts w:hint="eastAsia" w:ascii="仿宋" w:hAnsi="仿宋" w:eastAsia="仿宋" w:cs="Arial"/>
          <w:color w:val="000000"/>
          <w:kern w:val="0"/>
          <w:sz w:val="24"/>
          <w:szCs w:val="24"/>
        </w:rPr>
        <w:t>能力。</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大赛以供应链运营管理为核心思想，通过供应链运营实战模拟，对培养学生严谨周密的思维方式、系统的思维能力和运营的全局观，提升团队合作和沟通协调等能力，促进教学相长，培养新时代供应链专业人才具有重要意义。</w:t>
      </w:r>
      <w:r>
        <w:rPr>
          <w:rFonts w:hint="eastAsia" w:ascii="仿宋" w:hAnsi="仿宋" w:eastAsia="仿宋" w:cs="Arial"/>
          <w:color w:val="000000"/>
          <w:kern w:val="0"/>
          <w:sz w:val="24"/>
          <w:szCs w:val="24"/>
          <w:lang w:val="en-US" w:eastAsia="zh-CN"/>
        </w:rPr>
        <w:t>本届</w:t>
      </w:r>
      <w:r>
        <w:rPr>
          <w:rFonts w:hint="eastAsia" w:ascii="仿宋" w:hAnsi="仿宋" w:eastAsia="仿宋" w:cs="Arial"/>
          <w:color w:val="000000"/>
          <w:kern w:val="0"/>
          <w:sz w:val="24"/>
          <w:szCs w:val="24"/>
        </w:rPr>
        <w:t>大赛以“对接行业、提升教学、服务企业”为原则，为在校师生和企业建立一个交流、合作的平台，实现竞赛过程与企业供应链运营流程对接，促进工学结合人才培养模式改革与创新，引领教育教学改革的方向。</w:t>
      </w:r>
    </w:p>
    <w:p>
      <w:pPr>
        <w:adjustRightInd w:val="0"/>
        <w:snapToGrid w:val="0"/>
        <w:spacing w:before="156" w:beforeLines="50" w:after="156" w:afterLines="50" w:line="400" w:lineRule="exact"/>
        <w:ind w:firstLine="562" w:firstLineChars="200"/>
        <w:outlineLvl w:val="0"/>
        <w:rPr>
          <w:rFonts w:hint="default"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三、竞赛时间及地点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竞赛时间：2022年3月25日报到，3月26日正式比赛。</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竞赛地点：甘肃交通职业技术学院</w:t>
      </w:r>
    </w:p>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表1   竞赛时间安排</w:t>
      </w:r>
    </w:p>
    <w:tbl>
      <w:tblPr>
        <w:tblStyle w:val="8"/>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519"/>
        <w:gridCol w:w="2509"/>
        <w:gridCol w:w="2569"/>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Align w:val="center"/>
          </w:tcPr>
          <w:p>
            <w:pPr>
              <w:widowControl/>
              <w:jc w:val="center"/>
              <w:rPr>
                <w:rFonts w:ascii="黑体" w:hAnsi="黑体" w:eastAsia="黑体" w:cs="宋体"/>
                <w:b/>
                <w:color w:val="auto"/>
                <w:kern w:val="0"/>
                <w:sz w:val="21"/>
                <w:szCs w:val="21"/>
              </w:rPr>
            </w:pPr>
            <w:r>
              <w:rPr>
                <w:rFonts w:hint="eastAsia" w:ascii="黑体" w:hAnsi="黑体" w:eastAsia="黑体" w:cs="宋体"/>
                <w:b/>
                <w:color w:val="auto"/>
                <w:kern w:val="0"/>
                <w:sz w:val="21"/>
                <w:szCs w:val="21"/>
              </w:rPr>
              <w:t>日期</w:t>
            </w:r>
          </w:p>
        </w:tc>
        <w:tc>
          <w:tcPr>
            <w:tcW w:w="1519" w:type="dxa"/>
            <w:vAlign w:val="center"/>
          </w:tcPr>
          <w:p>
            <w:pPr>
              <w:widowControl/>
              <w:jc w:val="center"/>
              <w:rPr>
                <w:rFonts w:ascii="黑体" w:hAnsi="黑体" w:eastAsia="黑体" w:cs="宋体"/>
                <w:b/>
                <w:color w:val="auto"/>
                <w:kern w:val="0"/>
                <w:sz w:val="21"/>
                <w:szCs w:val="21"/>
              </w:rPr>
            </w:pPr>
            <w:r>
              <w:rPr>
                <w:rFonts w:hint="eastAsia" w:ascii="黑体" w:hAnsi="黑体" w:eastAsia="黑体" w:cs="宋体"/>
                <w:b/>
                <w:color w:val="auto"/>
                <w:kern w:val="0"/>
                <w:sz w:val="21"/>
                <w:szCs w:val="21"/>
              </w:rPr>
              <w:t>时间</w:t>
            </w:r>
          </w:p>
        </w:tc>
        <w:tc>
          <w:tcPr>
            <w:tcW w:w="2509" w:type="dxa"/>
            <w:vAlign w:val="center"/>
          </w:tcPr>
          <w:p>
            <w:pPr>
              <w:widowControl/>
              <w:jc w:val="center"/>
              <w:rPr>
                <w:rFonts w:ascii="黑体" w:hAnsi="黑体" w:eastAsia="黑体" w:cs="宋体"/>
                <w:b/>
                <w:color w:val="auto"/>
                <w:kern w:val="0"/>
                <w:sz w:val="21"/>
                <w:szCs w:val="21"/>
              </w:rPr>
            </w:pPr>
            <w:r>
              <w:rPr>
                <w:rFonts w:hint="eastAsia" w:ascii="黑体" w:hAnsi="黑体" w:eastAsia="黑体" w:cs="宋体"/>
                <w:b/>
                <w:color w:val="auto"/>
                <w:kern w:val="0"/>
                <w:sz w:val="21"/>
                <w:szCs w:val="21"/>
              </w:rPr>
              <w:t>事项</w:t>
            </w:r>
          </w:p>
        </w:tc>
        <w:tc>
          <w:tcPr>
            <w:tcW w:w="2569" w:type="dxa"/>
            <w:vAlign w:val="center"/>
          </w:tcPr>
          <w:p>
            <w:pPr>
              <w:widowControl/>
              <w:jc w:val="center"/>
              <w:rPr>
                <w:rFonts w:ascii="黑体" w:hAnsi="黑体" w:eastAsia="黑体" w:cs="宋体"/>
                <w:b/>
                <w:color w:val="auto"/>
                <w:kern w:val="0"/>
                <w:sz w:val="21"/>
                <w:szCs w:val="21"/>
              </w:rPr>
            </w:pPr>
            <w:r>
              <w:rPr>
                <w:rFonts w:hint="eastAsia" w:ascii="黑体" w:hAnsi="黑体" w:eastAsia="黑体" w:cs="宋体"/>
                <w:b/>
                <w:color w:val="auto"/>
                <w:kern w:val="0"/>
                <w:sz w:val="21"/>
                <w:szCs w:val="21"/>
              </w:rPr>
              <w:t>参加人员</w:t>
            </w:r>
          </w:p>
        </w:tc>
        <w:tc>
          <w:tcPr>
            <w:tcW w:w="1657" w:type="dxa"/>
            <w:vAlign w:val="center"/>
          </w:tcPr>
          <w:p>
            <w:pPr>
              <w:widowControl/>
              <w:jc w:val="center"/>
              <w:rPr>
                <w:rFonts w:ascii="黑体" w:hAnsi="黑体" w:eastAsia="黑体" w:cs="宋体"/>
                <w:b/>
                <w:color w:val="auto"/>
                <w:kern w:val="0"/>
                <w:sz w:val="21"/>
                <w:szCs w:val="21"/>
              </w:rPr>
            </w:pPr>
            <w:r>
              <w:rPr>
                <w:rFonts w:hint="eastAsia" w:ascii="黑体" w:hAnsi="黑体" w:eastAsia="黑体" w:cs="宋体"/>
                <w:b/>
                <w:color w:val="auto"/>
                <w:kern w:val="0"/>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restart"/>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3月25日</w:t>
            </w: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14:30-15:30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参赛队报到，领取资料</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工作人员、参赛队领队</w:t>
            </w:r>
          </w:p>
        </w:tc>
        <w:tc>
          <w:tcPr>
            <w:tcW w:w="1657" w:type="dxa"/>
            <w:vMerge w:val="restart"/>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二号实训楼</w:t>
            </w:r>
          </w:p>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hint="eastAsia" w:ascii="仿宋" w:hAnsi="仿宋" w:eastAsia="仿宋" w:cs="仿宋"/>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15:30-16:30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赛项说明会</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各参赛队领队、裁判长</w:t>
            </w: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hint="eastAsia" w:ascii="仿宋" w:hAnsi="仿宋" w:eastAsia="仿宋" w:cs="仿宋"/>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16:30-17:00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抽签</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参赛队领队、裁判、监督</w:t>
            </w: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hint="eastAsia" w:ascii="仿宋" w:hAnsi="仿宋" w:eastAsia="仿宋" w:cs="仿宋"/>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17:00-17:30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参观赛场</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各参赛队领队</w:t>
            </w:r>
          </w:p>
        </w:tc>
        <w:tc>
          <w:tcPr>
            <w:tcW w:w="1657" w:type="dxa"/>
            <w:vMerge w:val="restart"/>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行政楼四楼</w:t>
            </w:r>
          </w:p>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2机房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hint="eastAsia" w:ascii="仿宋" w:hAnsi="仿宋" w:eastAsia="仿宋" w:cs="仿宋"/>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17:30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检查封闭赛场</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裁判长、监督组</w:t>
            </w: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9" w:type="dxa"/>
            <w:vMerge w:val="restart"/>
            <w:vAlign w:val="center"/>
          </w:tcPr>
          <w:p>
            <w:pPr>
              <w:widowControl/>
              <w:jc w:val="center"/>
              <w:rPr>
                <w:rFonts w:hint="eastAsia" w:ascii="仿宋" w:hAnsi="仿宋" w:eastAsia="仿宋" w:cs="仿宋"/>
                <w:color w:val="auto"/>
                <w:kern w:val="0"/>
                <w:sz w:val="21"/>
                <w:szCs w:val="21"/>
                <w:lang w:val="en-US"/>
              </w:rPr>
            </w:pPr>
            <w:r>
              <w:rPr>
                <w:rFonts w:hint="eastAsia" w:ascii="仿宋" w:hAnsi="仿宋" w:eastAsia="仿宋" w:cs="仿宋"/>
                <w:color w:val="auto"/>
                <w:kern w:val="0"/>
                <w:sz w:val="21"/>
                <w:szCs w:val="21"/>
                <w:lang w:val="en-US" w:eastAsia="zh-CN"/>
              </w:rPr>
              <w:t>3月26日</w:t>
            </w: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07:45-08:00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大赛检录</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参赛选手、检录工作人员</w:t>
            </w:r>
          </w:p>
        </w:tc>
        <w:tc>
          <w:tcPr>
            <w:tcW w:w="1657" w:type="dxa"/>
            <w:vMerge w:val="restart"/>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行政楼四楼</w:t>
            </w:r>
          </w:p>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2机房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08:00-08:10</w:t>
            </w:r>
          </w:p>
        </w:tc>
        <w:tc>
          <w:tcPr>
            <w:tcW w:w="2509" w:type="dxa"/>
            <w:vAlign w:val="center"/>
          </w:tcPr>
          <w:p>
            <w:pPr>
              <w:adjustRightInd w:val="0"/>
              <w:snapToGrid w:val="0"/>
              <w:spacing w:line="240" w:lineRule="atLeast"/>
              <w:jc w:val="both"/>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裁判员宣读竞赛须知</w:t>
            </w:r>
          </w:p>
        </w:tc>
        <w:tc>
          <w:tcPr>
            <w:tcW w:w="2569" w:type="dxa"/>
            <w:vMerge w:val="restart"/>
            <w:vAlign w:val="center"/>
          </w:tcPr>
          <w:p>
            <w:pPr>
              <w:adjustRightInd w:val="0"/>
              <w:snapToGrid w:val="0"/>
              <w:spacing w:line="240" w:lineRule="atLeast"/>
              <w:jc w:val="left"/>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参赛选手、现场裁判、裁判长、监督</w:t>
            </w: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08:10-09:10</w:t>
            </w:r>
          </w:p>
        </w:tc>
        <w:tc>
          <w:tcPr>
            <w:tcW w:w="2509" w:type="dxa"/>
            <w:vAlign w:val="center"/>
          </w:tcPr>
          <w:p>
            <w:pPr>
              <w:adjustRightInd w:val="0"/>
              <w:snapToGrid w:val="0"/>
              <w:spacing w:line="240" w:lineRule="atLeast"/>
              <w:jc w:val="left"/>
              <w:rPr>
                <w:rFonts w:hint="eastAsia" w:ascii="仿宋_GB2312" w:hAnsi="宋体" w:eastAsia="仿宋_GB2312" w:cstheme="minorBidi"/>
                <w:color w:val="auto"/>
                <w:sz w:val="21"/>
                <w:szCs w:val="21"/>
                <w:lang w:val="en-US" w:eastAsia="zh-CN"/>
              </w:rPr>
            </w:pPr>
            <w:r>
              <w:rPr>
                <w:rFonts w:hint="eastAsia" w:ascii="仿宋" w:hAnsi="仿宋" w:eastAsia="仿宋"/>
                <w:color w:val="auto"/>
                <w:sz w:val="22"/>
                <w:szCs w:val="22"/>
              </w:rPr>
              <w:t>供应链运营理论知识考核</w:t>
            </w:r>
            <w:r>
              <w:rPr>
                <w:rFonts w:hint="eastAsia" w:ascii="仿宋" w:hAnsi="仿宋" w:eastAsia="仿宋"/>
                <w:color w:val="auto"/>
                <w:sz w:val="22"/>
                <w:szCs w:val="22"/>
                <w:lang w:eastAsia="zh-CN"/>
              </w:rPr>
              <w:t>、</w:t>
            </w:r>
            <w:r>
              <w:rPr>
                <w:rFonts w:hint="eastAsia" w:ascii="仿宋_GB2312" w:hAnsi="宋体" w:eastAsia="仿宋_GB2312" w:cstheme="minorBidi"/>
                <w:color w:val="auto"/>
                <w:sz w:val="21"/>
                <w:szCs w:val="21"/>
                <w:lang w:val="en-US" w:eastAsia="zh-CN"/>
              </w:rPr>
              <w:t>参赛选手制作供应链运营与管理创新方案PPT</w:t>
            </w:r>
          </w:p>
        </w:tc>
        <w:tc>
          <w:tcPr>
            <w:tcW w:w="2569"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09:10-09:20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中间休息</w:t>
            </w:r>
          </w:p>
        </w:tc>
        <w:tc>
          <w:tcPr>
            <w:tcW w:w="2569"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09:20-10:10</w:t>
            </w:r>
          </w:p>
        </w:tc>
        <w:tc>
          <w:tcPr>
            <w:tcW w:w="2509" w:type="dxa"/>
            <w:vAlign w:val="center"/>
          </w:tcPr>
          <w:p>
            <w:pPr>
              <w:adjustRightInd w:val="0"/>
              <w:snapToGrid w:val="0"/>
              <w:spacing w:line="240" w:lineRule="atLeast"/>
              <w:jc w:val="left"/>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第一场：供应链运营模拟对抗</w:t>
            </w:r>
          </w:p>
        </w:tc>
        <w:tc>
          <w:tcPr>
            <w:tcW w:w="2569"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10:10-10:20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中间休息</w:t>
            </w:r>
          </w:p>
        </w:tc>
        <w:tc>
          <w:tcPr>
            <w:tcW w:w="2569"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default"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10:20-11:10</w:t>
            </w:r>
          </w:p>
        </w:tc>
        <w:tc>
          <w:tcPr>
            <w:tcW w:w="2509" w:type="dxa"/>
            <w:vAlign w:val="center"/>
          </w:tcPr>
          <w:p>
            <w:pPr>
              <w:adjustRightInd w:val="0"/>
              <w:snapToGrid w:val="0"/>
              <w:spacing w:line="240" w:lineRule="atLeast"/>
              <w:jc w:val="left"/>
              <w:rPr>
                <w:rFonts w:hint="eastAsia"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第二场：供应链运营模拟对抗</w:t>
            </w:r>
          </w:p>
        </w:tc>
        <w:tc>
          <w:tcPr>
            <w:tcW w:w="2569"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11:10-11:20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中间休息</w:t>
            </w:r>
          </w:p>
        </w:tc>
        <w:tc>
          <w:tcPr>
            <w:tcW w:w="2569"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11:20-12:00</w:t>
            </w:r>
          </w:p>
        </w:tc>
        <w:tc>
          <w:tcPr>
            <w:tcW w:w="25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仿宋_GB2312" w:hAnsi="宋体" w:eastAsia="仿宋_GB2312" w:cstheme="minorBidi"/>
                <w:color w:val="auto"/>
                <w:kern w:val="2"/>
                <w:sz w:val="21"/>
                <w:szCs w:val="21"/>
                <w:lang w:val="en-US" w:eastAsia="zh-CN" w:bidi="ar-SA"/>
              </w:rPr>
            </w:pPr>
            <w:r>
              <w:rPr>
                <w:rFonts w:hint="eastAsia" w:ascii="仿宋_GB2312" w:hAnsi="宋体" w:eastAsia="仿宋_GB2312" w:cstheme="minorBidi"/>
                <w:color w:val="auto"/>
                <w:sz w:val="21"/>
                <w:szCs w:val="21"/>
                <w:lang w:val="en-US" w:eastAsia="zh-CN"/>
              </w:rPr>
              <w:t>参赛选手优化供应链运营与管理创新方案PPT，并提交答辩PPT</w:t>
            </w:r>
          </w:p>
        </w:tc>
        <w:tc>
          <w:tcPr>
            <w:tcW w:w="2569"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c>
          <w:tcPr>
            <w:tcW w:w="1657" w:type="dxa"/>
            <w:vMerge w:val="continue"/>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12:00-14:00</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午餐</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全体人员</w:t>
            </w:r>
          </w:p>
        </w:tc>
        <w:tc>
          <w:tcPr>
            <w:tcW w:w="1657"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学校餐厅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14:00-16:30</w:t>
            </w:r>
          </w:p>
        </w:tc>
        <w:tc>
          <w:tcPr>
            <w:tcW w:w="2509" w:type="dxa"/>
            <w:vAlign w:val="center"/>
          </w:tcPr>
          <w:p>
            <w:pPr>
              <w:adjustRightInd w:val="0"/>
              <w:snapToGrid w:val="0"/>
              <w:spacing w:line="240" w:lineRule="atLeast"/>
              <w:jc w:val="left"/>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供应链</w:t>
            </w:r>
            <w:r>
              <w:rPr>
                <w:rFonts w:hint="eastAsia" w:ascii="仿宋_GB2312" w:hAnsi="宋体" w:eastAsia="仿宋_GB2312" w:cstheme="minorBidi"/>
                <w:color w:val="auto"/>
                <w:sz w:val="21"/>
                <w:szCs w:val="21"/>
              </w:rPr>
              <w:t>运营与管理创新</w:t>
            </w:r>
            <w:r>
              <w:rPr>
                <w:rFonts w:hint="eastAsia" w:ascii="仿宋_GB2312" w:hAnsi="宋体" w:eastAsia="仿宋_GB2312" w:cstheme="minorBidi"/>
                <w:color w:val="auto"/>
                <w:sz w:val="21"/>
                <w:szCs w:val="21"/>
                <w:lang w:val="en-US" w:eastAsia="zh-CN"/>
              </w:rPr>
              <w:t>方案</w:t>
            </w:r>
            <w:r>
              <w:rPr>
                <w:rFonts w:hint="eastAsia" w:ascii="仿宋" w:hAnsi="仿宋" w:eastAsia="仿宋"/>
                <w:color w:val="auto"/>
                <w:sz w:val="22"/>
                <w:szCs w:val="22"/>
              </w:rPr>
              <w:t>答辩</w:t>
            </w:r>
          </w:p>
        </w:tc>
        <w:tc>
          <w:tcPr>
            <w:tcW w:w="2569" w:type="dxa"/>
            <w:vAlign w:val="center"/>
          </w:tcPr>
          <w:p>
            <w:pPr>
              <w:adjustRightInd w:val="0"/>
              <w:snapToGrid w:val="0"/>
              <w:spacing w:line="240" w:lineRule="atLeast"/>
              <w:jc w:val="left"/>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参赛选手、现场裁判、裁判长、专家、监督</w:t>
            </w:r>
          </w:p>
        </w:tc>
        <w:tc>
          <w:tcPr>
            <w:tcW w:w="1657" w:type="dxa"/>
            <w:vAlign w:val="center"/>
          </w:tcPr>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会议中心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16:30-17:00</w:t>
            </w:r>
          </w:p>
        </w:tc>
        <w:tc>
          <w:tcPr>
            <w:tcW w:w="2509" w:type="dxa"/>
            <w:vAlign w:val="center"/>
          </w:tcPr>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成绩核算</w:t>
            </w:r>
          </w:p>
        </w:tc>
        <w:tc>
          <w:tcPr>
            <w:tcW w:w="256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评分裁判、裁判长、监督</w:t>
            </w:r>
          </w:p>
        </w:tc>
        <w:tc>
          <w:tcPr>
            <w:tcW w:w="1657"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9" w:type="dxa"/>
            <w:vMerge w:val="continue"/>
            <w:vAlign w:val="center"/>
          </w:tcPr>
          <w:p>
            <w:pPr>
              <w:widowControl/>
              <w:jc w:val="center"/>
              <w:rPr>
                <w:rFonts w:ascii="黑体" w:hAnsi="黑体" w:eastAsia="黑体" w:cs="宋体"/>
                <w:color w:val="auto"/>
                <w:kern w:val="0"/>
                <w:sz w:val="21"/>
                <w:szCs w:val="21"/>
              </w:rPr>
            </w:pPr>
          </w:p>
        </w:tc>
        <w:tc>
          <w:tcPr>
            <w:tcW w:w="151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评判完毕后</w:t>
            </w:r>
          </w:p>
        </w:tc>
        <w:tc>
          <w:tcPr>
            <w:tcW w:w="2509"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成绩公示</w:t>
            </w:r>
          </w:p>
        </w:tc>
        <w:tc>
          <w:tcPr>
            <w:tcW w:w="2569" w:type="dxa"/>
            <w:vAlign w:val="center"/>
          </w:tcPr>
          <w:p>
            <w:pPr>
              <w:adjustRightInd w:val="0"/>
              <w:snapToGrid w:val="0"/>
              <w:spacing w:line="240" w:lineRule="atLeast"/>
              <w:jc w:val="left"/>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评分裁判、裁判长、专家、监督</w:t>
            </w:r>
          </w:p>
        </w:tc>
        <w:tc>
          <w:tcPr>
            <w:tcW w:w="1657" w:type="dxa"/>
            <w:vAlign w:val="center"/>
          </w:tcPr>
          <w:p>
            <w:pPr>
              <w:adjustRightInd w:val="0"/>
              <w:snapToGrid w:val="0"/>
              <w:spacing w:line="240" w:lineRule="atLeast"/>
              <w:jc w:val="center"/>
              <w:rPr>
                <w:rFonts w:hint="eastAsia"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二号实训楼</w:t>
            </w:r>
          </w:p>
          <w:p>
            <w:pPr>
              <w:adjustRightInd w:val="0"/>
              <w:snapToGrid w:val="0"/>
              <w:spacing w:line="240" w:lineRule="atLeast"/>
              <w:jc w:val="center"/>
              <w:rPr>
                <w:rFonts w:hint="default" w:ascii="仿宋_GB2312" w:hAnsi="宋体" w:eastAsia="仿宋_GB2312" w:cstheme="minorBidi"/>
                <w:color w:val="auto"/>
                <w:sz w:val="21"/>
                <w:szCs w:val="21"/>
                <w:lang w:val="en-US" w:eastAsia="zh-CN"/>
              </w:rPr>
            </w:pPr>
            <w:r>
              <w:rPr>
                <w:rFonts w:hint="eastAsia" w:ascii="仿宋_GB2312" w:hAnsi="宋体" w:eastAsia="仿宋_GB2312" w:cstheme="minorBidi"/>
                <w:color w:val="auto"/>
                <w:sz w:val="21"/>
                <w:szCs w:val="21"/>
                <w:lang w:val="en-US" w:eastAsia="zh-CN"/>
              </w:rPr>
              <w:t>一楼</w:t>
            </w:r>
          </w:p>
        </w:tc>
      </w:tr>
    </w:tbl>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四、竞赛内容</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本赛事是团体赛，每支参赛队伍四名选手，组成供应链运营团队，竞赛过程以百蝶ISCM智慧供应链运营平台软件为平台。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供应链运营理论知识考核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采用现场限时完成的方式，四名选手协作完成理论知识考核相关考题并在规定时间内提交试卷</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满分100分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同时制作供应链</w:t>
      </w:r>
      <w:r>
        <w:rPr>
          <w:rFonts w:hint="eastAsia" w:ascii="仿宋" w:hAnsi="仿宋" w:eastAsia="仿宋" w:cs="仿宋"/>
          <w:color w:val="000000"/>
          <w:kern w:val="0"/>
          <w:sz w:val="24"/>
          <w:szCs w:val="24"/>
        </w:rPr>
        <w:t>运营与管理创新</w:t>
      </w:r>
      <w:r>
        <w:rPr>
          <w:rFonts w:hint="eastAsia" w:ascii="仿宋" w:hAnsi="仿宋" w:eastAsia="仿宋" w:cs="仿宋"/>
          <w:color w:val="000000"/>
          <w:kern w:val="0"/>
          <w:sz w:val="24"/>
          <w:szCs w:val="24"/>
          <w:lang w:val="en-US" w:eastAsia="zh-CN"/>
        </w:rPr>
        <w:t>方案PPT</w:t>
      </w:r>
      <w:r>
        <w:rPr>
          <w:rFonts w:hint="eastAsia" w:ascii="仿宋" w:hAnsi="仿宋" w:eastAsia="仿宋" w:cs="仿宋"/>
          <w:color w:val="000000"/>
          <w:kern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2.供应链运营模拟对抗</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四名选手协作完成，分两轮对抗。企业经营对抗在百蝶ISCM智慧供应链运营平台软件上进行，参赛选手组成一条供应链进入虚拟市场与其他小组展开竞争。</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第一场：供应链运营模拟对抗</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第二场：供应链运营模拟对抗</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经营结束后根据企业经营的关键指标（含：净资产、投资回报率、市场占有率、库存周转率、准时交货率、运营成本等）对供应链整体经营状况进行综合评分，作为经营对抗的成绩。取两次平均成绩，满分100分</w:t>
      </w:r>
      <w:r>
        <w:rPr>
          <w:rFonts w:hint="eastAsia" w:ascii="仿宋" w:hAnsi="仿宋" w:eastAsia="仿宋" w:cs="仿宋"/>
          <w:color w:val="000000"/>
          <w:kern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经营对抗结束后需要进行运营复盘总结，预留</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0分钟时间完善PPT内容并提交答辩PPT。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3.供应链运营与管理创新方案答辩</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参赛队进行供应链创新方案答辩。</w:t>
      </w:r>
      <w:r>
        <w:rPr>
          <w:rFonts w:hint="eastAsia" w:ascii="仿宋" w:hAnsi="仿宋" w:eastAsia="仿宋" w:cs="仿宋"/>
          <w:color w:val="000000"/>
          <w:kern w:val="0"/>
          <w:sz w:val="24"/>
          <w:szCs w:val="24"/>
        </w:rPr>
        <w:t>每组学生答辩总时间15分钟</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其中10分钟学生</w:t>
      </w:r>
      <w:r>
        <w:rPr>
          <w:rFonts w:hint="eastAsia" w:ascii="仿宋" w:hAnsi="仿宋" w:eastAsia="仿宋" w:cs="仿宋"/>
          <w:color w:val="000000"/>
          <w:kern w:val="0"/>
          <w:sz w:val="24"/>
          <w:szCs w:val="24"/>
          <w:lang w:val="en-US" w:eastAsia="zh-CN"/>
        </w:rPr>
        <w:t>汇报</w:t>
      </w:r>
      <w:r>
        <w:rPr>
          <w:rFonts w:hint="eastAsia" w:ascii="仿宋" w:hAnsi="仿宋" w:eastAsia="仿宋" w:cs="仿宋"/>
          <w:color w:val="000000"/>
          <w:kern w:val="0"/>
          <w:sz w:val="24"/>
          <w:szCs w:val="24"/>
        </w:rPr>
        <w:t>答辩，3分钟评委提问</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满分100分。</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五、竞赛方式</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1．比赛以团队方式进行，每支参赛队由4名选手组成，须为同校在籍学生，可配1-2名指导教师。</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．比赛期间，不允许领队和指导教师进入比赛现场。</w:t>
      </w:r>
    </w:p>
    <w:p>
      <w:pPr>
        <w:adjustRightInd w:val="0"/>
        <w:snapToGrid w:val="0"/>
        <w:spacing w:line="44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赛程</w:t>
      </w:r>
      <w:r>
        <w:rPr>
          <w:rFonts w:hint="eastAsia" w:ascii="仿宋" w:hAnsi="仿宋" w:eastAsia="仿宋" w:cs="仿宋"/>
          <w:color w:val="000000"/>
          <w:kern w:val="0"/>
          <w:sz w:val="24"/>
          <w:szCs w:val="24"/>
        </w:rPr>
        <w:t>分为三部分：第一部分供应链运营理论知识考核、第二部分供应链</w:t>
      </w:r>
      <w:r>
        <w:rPr>
          <w:rFonts w:hint="eastAsia" w:ascii="仿宋" w:hAnsi="仿宋" w:eastAsia="仿宋" w:cs="仿宋"/>
          <w:color w:val="000000"/>
          <w:kern w:val="0"/>
          <w:sz w:val="24"/>
          <w:szCs w:val="24"/>
          <w:lang w:val="en-US" w:eastAsia="zh-CN"/>
        </w:rPr>
        <w:t>运营模拟</w:t>
      </w:r>
      <w:r>
        <w:rPr>
          <w:rFonts w:hint="eastAsia" w:ascii="仿宋" w:hAnsi="仿宋" w:eastAsia="仿宋" w:cs="仿宋"/>
          <w:color w:val="000000"/>
          <w:kern w:val="0"/>
          <w:sz w:val="24"/>
          <w:szCs w:val="24"/>
        </w:rPr>
        <w:t>对抗、第三部分供应链运营与管理创新</w:t>
      </w:r>
      <w:r>
        <w:rPr>
          <w:rFonts w:hint="eastAsia" w:ascii="仿宋" w:hAnsi="仿宋" w:eastAsia="仿宋" w:cs="仿宋"/>
          <w:color w:val="000000"/>
          <w:kern w:val="0"/>
          <w:sz w:val="24"/>
          <w:szCs w:val="24"/>
          <w:lang w:val="en-US" w:eastAsia="zh-CN"/>
        </w:rPr>
        <w:t>方案答辩</w:t>
      </w:r>
      <w:r>
        <w:rPr>
          <w:rFonts w:hint="eastAsia" w:ascii="仿宋" w:hAnsi="仿宋" w:eastAsia="仿宋" w:cs="仿宋"/>
          <w:color w:val="000000"/>
          <w:kern w:val="0"/>
          <w:sz w:val="24"/>
          <w:szCs w:val="24"/>
        </w:rPr>
        <w:t>。</w:t>
      </w:r>
    </w:p>
    <w:p>
      <w:pPr>
        <w:adjustRightInd w:val="0"/>
        <w:snapToGrid w:val="0"/>
        <w:spacing w:line="440" w:lineRule="exact"/>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表2    各项目时间及权重分配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827"/>
        <w:gridCol w:w="1134"/>
        <w:gridCol w:w="103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17" w:type="dxa"/>
            <w:shd w:val="clear" w:color="auto" w:fill="auto"/>
            <w:vAlign w:val="center"/>
          </w:tcPr>
          <w:p>
            <w:pPr>
              <w:adjustRightInd w:val="0"/>
              <w:snapToGrid w:val="0"/>
              <w:jc w:val="center"/>
              <w:rPr>
                <w:rFonts w:hint="eastAsia" w:cs="Arial" w:asciiTheme="minorEastAsia" w:hAnsiTheme="minorEastAsia" w:eastAsiaTheme="minorEastAsia"/>
                <w:b/>
                <w:color w:val="000000"/>
                <w:sz w:val="21"/>
                <w:szCs w:val="21"/>
              </w:rPr>
            </w:pPr>
            <w:r>
              <w:rPr>
                <w:rFonts w:hint="eastAsia" w:cs="Arial" w:asciiTheme="minorEastAsia" w:hAnsiTheme="minorEastAsia" w:eastAsiaTheme="minorEastAsia"/>
                <w:b/>
                <w:color w:val="000000"/>
                <w:sz w:val="21"/>
                <w:szCs w:val="21"/>
              </w:rPr>
              <w:t>编号</w:t>
            </w:r>
          </w:p>
        </w:tc>
        <w:tc>
          <w:tcPr>
            <w:tcW w:w="3827" w:type="dxa"/>
            <w:shd w:val="clear" w:color="auto" w:fill="auto"/>
            <w:vAlign w:val="center"/>
          </w:tcPr>
          <w:p>
            <w:pPr>
              <w:adjustRightInd w:val="0"/>
              <w:snapToGrid w:val="0"/>
              <w:jc w:val="center"/>
              <w:rPr>
                <w:rFonts w:hint="eastAsia" w:cs="Arial" w:asciiTheme="minorEastAsia" w:hAnsiTheme="minorEastAsia" w:eastAsiaTheme="minorEastAsia"/>
                <w:b/>
                <w:color w:val="000000"/>
                <w:sz w:val="21"/>
                <w:szCs w:val="21"/>
                <w:lang w:eastAsia="zh-CN"/>
              </w:rPr>
            </w:pPr>
            <w:r>
              <w:rPr>
                <w:rFonts w:hint="eastAsia" w:cs="Arial" w:asciiTheme="minorEastAsia" w:hAnsiTheme="minorEastAsia" w:eastAsiaTheme="minorEastAsia"/>
                <w:b/>
                <w:color w:val="000000"/>
                <w:sz w:val="21"/>
                <w:szCs w:val="21"/>
                <w:lang w:val="en-US" w:eastAsia="zh-CN"/>
              </w:rPr>
              <w:t>项目</w:t>
            </w:r>
          </w:p>
        </w:tc>
        <w:tc>
          <w:tcPr>
            <w:tcW w:w="1134" w:type="dxa"/>
            <w:shd w:val="clear" w:color="auto" w:fill="auto"/>
            <w:vAlign w:val="center"/>
          </w:tcPr>
          <w:p>
            <w:pPr>
              <w:adjustRightInd w:val="0"/>
              <w:snapToGrid w:val="0"/>
              <w:jc w:val="center"/>
              <w:rPr>
                <w:rFonts w:hint="eastAsia" w:cs="Arial" w:asciiTheme="minorEastAsia" w:hAnsiTheme="minorEastAsia" w:eastAsiaTheme="minorEastAsia"/>
                <w:b/>
                <w:color w:val="000000"/>
                <w:sz w:val="21"/>
                <w:szCs w:val="21"/>
              </w:rPr>
            </w:pPr>
            <w:r>
              <w:rPr>
                <w:rFonts w:hint="eastAsia" w:cs="Arial" w:asciiTheme="minorEastAsia" w:hAnsiTheme="minorEastAsia" w:eastAsiaTheme="minorEastAsia"/>
                <w:b/>
                <w:color w:val="000000"/>
                <w:sz w:val="21"/>
                <w:szCs w:val="21"/>
              </w:rPr>
              <w:t>权重</w:t>
            </w:r>
          </w:p>
        </w:tc>
        <w:tc>
          <w:tcPr>
            <w:tcW w:w="1034" w:type="dxa"/>
            <w:shd w:val="clear" w:color="auto" w:fill="auto"/>
            <w:vAlign w:val="center"/>
          </w:tcPr>
          <w:p>
            <w:pPr>
              <w:adjustRightInd w:val="0"/>
              <w:snapToGrid w:val="0"/>
              <w:jc w:val="center"/>
              <w:rPr>
                <w:rFonts w:hint="eastAsia" w:cs="Arial" w:asciiTheme="minorEastAsia" w:hAnsiTheme="minorEastAsia" w:eastAsiaTheme="minorEastAsia"/>
                <w:b/>
                <w:color w:val="000000"/>
                <w:sz w:val="21"/>
                <w:szCs w:val="21"/>
              </w:rPr>
            </w:pPr>
            <w:r>
              <w:rPr>
                <w:rFonts w:hint="eastAsia" w:cs="Arial" w:asciiTheme="minorEastAsia" w:hAnsiTheme="minorEastAsia" w:eastAsiaTheme="minorEastAsia"/>
                <w:b/>
                <w:color w:val="000000"/>
                <w:sz w:val="21"/>
                <w:szCs w:val="21"/>
              </w:rPr>
              <w:t>形式</w:t>
            </w:r>
          </w:p>
        </w:tc>
        <w:tc>
          <w:tcPr>
            <w:tcW w:w="1704" w:type="dxa"/>
            <w:shd w:val="clear" w:color="auto" w:fill="auto"/>
            <w:vAlign w:val="center"/>
          </w:tcPr>
          <w:p>
            <w:pPr>
              <w:adjustRightInd w:val="0"/>
              <w:snapToGrid w:val="0"/>
              <w:jc w:val="center"/>
              <w:rPr>
                <w:rFonts w:hint="eastAsia" w:cs="Arial" w:asciiTheme="minorEastAsia" w:hAnsiTheme="minorEastAsia" w:eastAsiaTheme="minorEastAsia"/>
                <w:b/>
                <w:color w:val="000000"/>
                <w:sz w:val="21"/>
                <w:szCs w:val="21"/>
              </w:rPr>
            </w:pPr>
            <w:r>
              <w:rPr>
                <w:rFonts w:hint="eastAsia" w:cs="Arial" w:asciiTheme="minorEastAsia" w:hAnsiTheme="minorEastAsia" w:eastAsiaTheme="minorEastAsia"/>
                <w:b/>
                <w:color w:val="000000"/>
                <w:sz w:val="21"/>
                <w:szCs w:val="21"/>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7"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w:t>
            </w:r>
          </w:p>
        </w:tc>
        <w:tc>
          <w:tcPr>
            <w:tcW w:w="3827"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 w:hAnsi="仿宋" w:eastAsia="仿宋"/>
                <w:sz w:val="21"/>
                <w:szCs w:val="21"/>
              </w:rPr>
              <w:t>供应链运营理论知识考核</w:t>
            </w:r>
          </w:p>
        </w:tc>
        <w:tc>
          <w:tcPr>
            <w:tcW w:w="113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30%</w:t>
            </w:r>
          </w:p>
        </w:tc>
        <w:tc>
          <w:tcPr>
            <w:tcW w:w="103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线上</w:t>
            </w:r>
          </w:p>
        </w:tc>
        <w:tc>
          <w:tcPr>
            <w:tcW w:w="170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lang w:val="en-US" w:eastAsia="zh-CN"/>
              </w:rPr>
              <w:t>60</w:t>
            </w:r>
            <w:r>
              <w:rPr>
                <w:rFonts w:hint="eastAsia" w:ascii="仿宋_GB2312" w:hAnsi="宋体" w:eastAsia="仿宋_GB2312" w:cstheme="minorBidi"/>
                <w:sz w:val="21"/>
                <w:szCs w:val="21"/>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7"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w:t>
            </w:r>
          </w:p>
        </w:tc>
        <w:tc>
          <w:tcPr>
            <w:tcW w:w="3827"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 w:hAnsi="仿宋" w:eastAsia="仿宋"/>
                <w:sz w:val="21"/>
                <w:szCs w:val="21"/>
              </w:rPr>
              <w:t>供应链</w:t>
            </w:r>
            <w:r>
              <w:rPr>
                <w:rFonts w:hint="eastAsia" w:ascii="仿宋" w:hAnsi="仿宋" w:eastAsia="仿宋"/>
                <w:sz w:val="21"/>
                <w:szCs w:val="21"/>
                <w:lang w:val="en-US" w:eastAsia="zh-CN"/>
              </w:rPr>
              <w:t>运营模拟</w:t>
            </w:r>
            <w:r>
              <w:rPr>
                <w:rFonts w:hint="eastAsia" w:ascii="仿宋" w:hAnsi="仿宋" w:eastAsia="仿宋"/>
                <w:sz w:val="21"/>
                <w:szCs w:val="21"/>
              </w:rPr>
              <w:t>对抗</w:t>
            </w:r>
          </w:p>
        </w:tc>
        <w:tc>
          <w:tcPr>
            <w:tcW w:w="113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lang w:val="en-US" w:eastAsia="zh-CN"/>
              </w:rPr>
              <w:t>40</w:t>
            </w:r>
            <w:r>
              <w:rPr>
                <w:rFonts w:hint="eastAsia" w:ascii="仿宋_GB2312" w:hAnsi="宋体" w:eastAsia="仿宋_GB2312" w:cstheme="minorBidi"/>
                <w:sz w:val="21"/>
                <w:szCs w:val="21"/>
              </w:rPr>
              <w:t>%</w:t>
            </w:r>
          </w:p>
        </w:tc>
        <w:tc>
          <w:tcPr>
            <w:tcW w:w="103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线上</w:t>
            </w:r>
          </w:p>
        </w:tc>
        <w:tc>
          <w:tcPr>
            <w:tcW w:w="170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lang w:val="en-US" w:eastAsia="zh-CN"/>
              </w:rPr>
              <w:t>140</w:t>
            </w:r>
            <w:r>
              <w:rPr>
                <w:rFonts w:hint="eastAsia" w:ascii="仿宋_GB2312" w:hAnsi="宋体" w:eastAsia="仿宋_GB2312" w:cstheme="minorBidi"/>
                <w:sz w:val="21"/>
                <w:szCs w:val="21"/>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7"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3</w:t>
            </w:r>
          </w:p>
        </w:tc>
        <w:tc>
          <w:tcPr>
            <w:tcW w:w="3827" w:type="dxa"/>
            <w:shd w:val="clear" w:color="auto" w:fill="auto"/>
            <w:vAlign w:val="center"/>
          </w:tcPr>
          <w:p>
            <w:pPr>
              <w:adjustRightInd w:val="0"/>
              <w:snapToGrid w:val="0"/>
              <w:spacing w:line="240" w:lineRule="atLeast"/>
              <w:jc w:val="left"/>
              <w:rPr>
                <w:rFonts w:hint="default" w:ascii="仿宋_GB2312" w:hAnsi="宋体" w:eastAsia="仿宋_GB2312" w:cstheme="minorBidi"/>
                <w:sz w:val="21"/>
                <w:szCs w:val="21"/>
                <w:lang w:val="en-US" w:eastAsia="zh-CN"/>
              </w:rPr>
            </w:pPr>
            <w:r>
              <w:rPr>
                <w:rFonts w:hint="eastAsia" w:ascii="仿宋_GB2312" w:hAnsi="宋体" w:eastAsia="仿宋_GB2312" w:cstheme="minorBidi"/>
                <w:sz w:val="21"/>
                <w:szCs w:val="21"/>
                <w:lang w:val="en-US" w:eastAsia="zh-CN"/>
              </w:rPr>
              <w:t>供应链</w:t>
            </w:r>
            <w:r>
              <w:rPr>
                <w:rFonts w:hint="eastAsia" w:ascii="仿宋_GB2312" w:hAnsi="宋体" w:eastAsia="仿宋_GB2312" w:cstheme="minorBidi"/>
                <w:sz w:val="21"/>
                <w:szCs w:val="21"/>
              </w:rPr>
              <w:t>运营与管理创新</w:t>
            </w:r>
            <w:r>
              <w:rPr>
                <w:rFonts w:hint="eastAsia" w:ascii="仿宋_GB2312" w:hAnsi="宋体" w:eastAsia="仿宋_GB2312" w:cstheme="minorBidi"/>
                <w:sz w:val="21"/>
                <w:szCs w:val="21"/>
                <w:lang w:val="en-US" w:eastAsia="zh-CN"/>
              </w:rPr>
              <w:t>方案</w:t>
            </w:r>
            <w:r>
              <w:rPr>
                <w:rFonts w:hint="eastAsia" w:ascii="仿宋" w:hAnsi="仿宋" w:eastAsia="仿宋"/>
                <w:sz w:val="21"/>
                <w:szCs w:val="21"/>
              </w:rPr>
              <w:t>答辩</w:t>
            </w:r>
          </w:p>
        </w:tc>
        <w:tc>
          <w:tcPr>
            <w:tcW w:w="113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lang w:val="en-US" w:eastAsia="zh-CN"/>
              </w:rPr>
              <w:t>30</w:t>
            </w:r>
            <w:r>
              <w:rPr>
                <w:rFonts w:hint="eastAsia" w:ascii="仿宋_GB2312" w:hAnsi="宋体" w:eastAsia="仿宋_GB2312" w:cstheme="minorBidi"/>
                <w:sz w:val="21"/>
                <w:szCs w:val="21"/>
              </w:rPr>
              <w:t>%</w:t>
            </w:r>
          </w:p>
        </w:tc>
        <w:tc>
          <w:tcPr>
            <w:tcW w:w="103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lang w:val="en-US" w:eastAsia="zh-CN"/>
              </w:rPr>
            </w:pPr>
            <w:r>
              <w:rPr>
                <w:rFonts w:hint="eastAsia" w:ascii="仿宋_GB2312" w:hAnsi="宋体" w:eastAsia="仿宋_GB2312" w:cstheme="minorBidi"/>
                <w:sz w:val="21"/>
                <w:szCs w:val="21"/>
              </w:rPr>
              <w:t>线</w:t>
            </w:r>
            <w:r>
              <w:rPr>
                <w:rFonts w:hint="eastAsia" w:ascii="仿宋_GB2312" w:hAnsi="宋体" w:eastAsia="仿宋_GB2312" w:cstheme="minorBidi"/>
                <w:sz w:val="21"/>
                <w:szCs w:val="21"/>
                <w:lang w:val="en-US" w:eastAsia="zh-CN"/>
              </w:rPr>
              <w:t>下</w:t>
            </w:r>
          </w:p>
        </w:tc>
        <w:tc>
          <w:tcPr>
            <w:tcW w:w="1704" w:type="dxa"/>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lang w:val="en-US" w:eastAsia="zh-CN"/>
              </w:rPr>
              <w:t>15</w:t>
            </w:r>
            <w:r>
              <w:rPr>
                <w:rFonts w:hint="eastAsia" w:ascii="仿宋_GB2312" w:hAnsi="宋体" w:eastAsia="仿宋_GB2312" w:cstheme="minorBidi"/>
                <w:sz w:val="21"/>
                <w:szCs w:val="21"/>
              </w:rPr>
              <w:t>分钟</w:t>
            </w:r>
          </w:p>
        </w:tc>
      </w:tr>
    </w:tbl>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在比赛过程中专家组可根据实际情况对各赛段时间进行适当的调整。</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六、竞赛环境</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1.</w:t>
      </w:r>
      <w:bookmarkStart w:id="1" w:name="_Toc10946"/>
      <w:r>
        <w:rPr>
          <w:rFonts w:hint="eastAsia" w:ascii="仿宋" w:hAnsi="仿宋" w:eastAsia="仿宋" w:cs="Arial"/>
          <w:color w:val="000000"/>
          <w:kern w:val="0"/>
          <w:sz w:val="24"/>
          <w:szCs w:val="24"/>
        </w:rPr>
        <w:t xml:space="preserve">确保计算机正常运行，备有应急供电设备；设有消防逃生通道。 </w:t>
      </w:r>
    </w:p>
    <w:p>
      <w:pPr>
        <w:adjustRightInd w:val="0"/>
        <w:snapToGrid w:val="0"/>
        <w:spacing w:line="440" w:lineRule="exact"/>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2.每个赛场提供满足竞赛需求的机位数量，并能按团队组合</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每队4台，队伍之间相对隔离，保证各队在竞赛时的独立性，不受外界干扰。</w:t>
      </w:r>
    </w:p>
    <w:p>
      <w:pPr>
        <w:adjustRightInd w:val="0"/>
        <w:snapToGrid w:val="0"/>
        <w:spacing w:line="440" w:lineRule="exact"/>
        <w:ind w:firstLine="480" w:firstLineChars="200"/>
        <w:rPr>
          <w:rFonts w:hint="eastAsia" w:ascii="仿宋" w:hAnsi="仿宋" w:eastAsia="仿宋" w:cs="Arial"/>
          <w:color w:val="000000"/>
          <w:kern w:val="0"/>
          <w:sz w:val="28"/>
          <w:szCs w:val="28"/>
        </w:rPr>
      </w:pPr>
      <w:r>
        <w:rPr>
          <w:rFonts w:hint="eastAsia" w:ascii="仿宋" w:hAnsi="仿宋" w:eastAsia="仿宋" w:cs="Arial"/>
          <w:color w:val="000000"/>
          <w:kern w:val="0"/>
          <w:sz w:val="24"/>
          <w:szCs w:val="24"/>
        </w:rPr>
        <w:t>3.每个赛场要有稳定通畅的网络环境，有防火墙等必要的网络安全设备，保证赛事安全运行。</w:t>
      </w:r>
      <w:bookmarkEnd w:id="1"/>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七、技术规范</w:t>
      </w:r>
    </w:p>
    <w:p>
      <w:pPr>
        <w:adjustRightInd w:val="0"/>
        <w:snapToGrid w:val="0"/>
        <w:spacing w:line="440" w:lineRule="exact"/>
        <w:ind w:firstLine="480" w:firstLineChars="200"/>
        <w:rPr>
          <w:rFonts w:hint="eastAsia" w:ascii="仿宋" w:hAnsi="仿宋" w:eastAsia="仿宋" w:cs="Arial"/>
          <w:color w:val="000000"/>
          <w:kern w:val="0"/>
          <w:sz w:val="24"/>
          <w:szCs w:val="24"/>
          <w:lang w:val="en-US" w:eastAsia="zh-CN"/>
        </w:rPr>
      </w:pPr>
      <w:r>
        <w:rPr>
          <w:rFonts w:hint="eastAsia" w:ascii="仿宋" w:hAnsi="仿宋" w:eastAsia="仿宋" w:cs="Arial"/>
          <w:color w:val="000000"/>
          <w:kern w:val="0"/>
          <w:sz w:val="24"/>
          <w:szCs w:val="24"/>
          <w:lang w:val="en-US" w:eastAsia="zh-CN"/>
        </w:rPr>
        <w:t>参照《职业院校技能大赛赛项规程编制要求》，列出竞赛内容涉及技术规范的全部信息，包括相关的专业教育教学要求，行业、职业技术标准等如下：</w:t>
      </w:r>
    </w:p>
    <w:p>
      <w:pPr>
        <w:adjustRightInd w:val="0"/>
        <w:snapToGrid w:val="0"/>
        <w:spacing w:line="440" w:lineRule="exact"/>
        <w:ind w:firstLine="480" w:firstLineChars="200"/>
        <w:rPr>
          <w:rFonts w:hint="eastAsia" w:ascii="仿宋" w:hAnsi="仿宋" w:eastAsia="仿宋" w:cs="Arial"/>
          <w:color w:val="000000"/>
          <w:kern w:val="0"/>
          <w:sz w:val="24"/>
          <w:szCs w:val="24"/>
          <w:lang w:val="en-US" w:eastAsia="zh-CN"/>
        </w:rPr>
      </w:pPr>
      <w:r>
        <w:rPr>
          <w:rFonts w:hint="eastAsia" w:ascii="仿宋" w:hAnsi="仿宋" w:eastAsia="仿宋" w:cs="Arial"/>
          <w:color w:val="000000"/>
          <w:kern w:val="0"/>
          <w:sz w:val="24"/>
          <w:szCs w:val="24"/>
          <w:lang w:val="en-US" w:eastAsia="zh-CN"/>
        </w:rPr>
        <w:t>GB/T 26337.1-2010 供应链管理 第 1 部分：综述与基本原理</w:t>
      </w:r>
    </w:p>
    <w:p>
      <w:pPr>
        <w:adjustRightInd w:val="0"/>
        <w:snapToGrid w:val="0"/>
        <w:spacing w:line="440" w:lineRule="exact"/>
        <w:ind w:firstLine="480" w:firstLineChars="200"/>
        <w:rPr>
          <w:rFonts w:hint="eastAsia" w:ascii="仿宋" w:hAnsi="仿宋" w:eastAsia="仿宋" w:cs="Arial"/>
          <w:color w:val="000000"/>
          <w:kern w:val="0"/>
          <w:sz w:val="24"/>
          <w:szCs w:val="24"/>
          <w:lang w:val="en-US" w:eastAsia="zh-CN"/>
        </w:rPr>
      </w:pPr>
      <w:r>
        <w:rPr>
          <w:rFonts w:hint="eastAsia" w:ascii="仿宋" w:hAnsi="仿宋" w:eastAsia="仿宋" w:cs="Arial"/>
          <w:color w:val="000000"/>
          <w:kern w:val="0"/>
          <w:sz w:val="24"/>
          <w:szCs w:val="24"/>
          <w:lang w:val="en-US" w:eastAsia="zh-CN"/>
        </w:rPr>
        <w:t>GB/T 26337.2-2010 供应链管理 第 2 部分：SCM术语</w:t>
      </w:r>
    </w:p>
    <w:p>
      <w:pPr>
        <w:adjustRightInd w:val="0"/>
        <w:snapToGrid w:val="0"/>
        <w:spacing w:line="440" w:lineRule="exact"/>
        <w:ind w:firstLine="480" w:firstLineChars="200"/>
        <w:rPr>
          <w:rFonts w:hint="eastAsia" w:ascii="仿宋" w:hAnsi="仿宋" w:eastAsia="仿宋" w:cs="Arial"/>
          <w:color w:val="000000"/>
          <w:kern w:val="0"/>
          <w:sz w:val="24"/>
          <w:szCs w:val="24"/>
          <w:lang w:val="en-US" w:eastAsia="zh-CN"/>
        </w:rPr>
      </w:pPr>
      <w:r>
        <w:rPr>
          <w:rFonts w:hint="eastAsia" w:ascii="仿宋" w:hAnsi="仿宋" w:eastAsia="仿宋" w:cs="Arial"/>
          <w:color w:val="000000"/>
          <w:kern w:val="0"/>
          <w:sz w:val="24"/>
          <w:szCs w:val="24"/>
          <w:lang w:val="en-US" w:eastAsia="zh-CN"/>
        </w:rPr>
        <w:t>GB/T 25109.1-2010 企业资源计划 第1部分：ERP术语</w:t>
      </w:r>
    </w:p>
    <w:p>
      <w:pPr>
        <w:adjustRightInd w:val="0"/>
        <w:snapToGrid w:val="0"/>
        <w:spacing w:line="440" w:lineRule="exact"/>
        <w:ind w:firstLine="480" w:firstLineChars="200"/>
        <w:rPr>
          <w:rFonts w:hint="eastAsia" w:ascii="仿宋" w:hAnsi="仿宋" w:eastAsia="仿宋" w:cs="Arial"/>
          <w:color w:val="000000"/>
          <w:kern w:val="0"/>
          <w:sz w:val="24"/>
          <w:szCs w:val="24"/>
          <w:lang w:val="en-US" w:eastAsia="zh-CN"/>
        </w:rPr>
      </w:pPr>
      <w:r>
        <w:rPr>
          <w:rFonts w:hint="eastAsia" w:ascii="仿宋" w:hAnsi="仿宋" w:eastAsia="仿宋" w:cs="Arial"/>
          <w:color w:val="000000"/>
          <w:kern w:val="0"/>
          <w:sz w:val="24"/>
          <w:szCs w:val="24"/>
          <w:lang w:val="en-US" w:eastAsia="zh-CN"/>
        </w:rPr>
        <w:t>GB/T 18354-2006   物流术语</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八、技术平台</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lang w:val="en-US" w:eastAsia="zh-CN"/>
        </w:rPr>
        <w:t>百蝶智慧</w:t>
      </w:r>
      <w:r>
        <w:rPr>
          <w:rFonts w:hint="eastAsia" w:ascii="仿宋" w:hAnsi="仿宋" w:eastAsia="仿宋" w:cs="Arial"/>
          <w:color w:val="000000"/>
          <w:kern w:val="0"/>
          <w:sz w:val="24"/>
          <w:szCs w:val="24"/>
        </w:rPr>
        <w:t>供应链运营平台软件集合研发设计、集中采购、组织生产、物流分销、终端管理、品牌营销等企业经营功能，包括商品流、信息流、资金流；平台直接服务需求终端，减少流通环节和成本，构建跨界融合、共享共生的</w:t>
      </w:r>
      <w:r>
        <w:rPr>
          <w:rFonts w:hint="eastAsia" w:ascii="仿宋" w:hAnsi="仿宋" w:eastAsia="仿宋" w:cs="Arial"/>
          <w:color w:val="000000"/>
          <w:kern w:val="0"/>
          <w:sz w:val="24"/>
          <w:szCs w:val="24"/>
          <w:lang w:val="en-US" w:eastAsia="zh-CN"/>
        </w:rPr>
        <w:t>供应链虚拟</w:t>
      </w:r>
      <w:r>
        <w:rPr>
          <w:rFonts w:hint="eastAsia" w:ascii="仿宋" w:hAnsi="仿宋" w:eastAsia="仿宋" w:cs="Arial"/>
          <w:color w:val="000000"/>
          <w:kern w:val="0"/>
          <w:sz w:val="24"/>
          <w:szCs w:val="24"/>
        </w:rPr>
        <w:t>生态圈。平台具备多种行业（制造商、分销商、零售商、物流商）的模拟仿真功能，并能够进行角色之间的合作经营与实战对抗。平台将中国的32个主要城市的经济系统进行模拟还原，学生可在各具特色的市场环境下进行多种产品类型的仿真操作；此外人工智能技术的应用，平台为学生提供了自动化的策略执行功能，让学生能够即刻感知策略带来的结果，从而更深刻地学习相关知识。</w:t>
      </w:r>
    </w:p>
    <w:p>
      <w:pPr>
        <w:adjustRightInd w:val="0"/>
        <w:snapToGrid w:val="0"/>
        <w:spacing w:line="440" w:lineRule="exact"/>
        <w:ind w:firstLine="480" w:firstLineChars="200"/>
        <w:rPr>
          <w:rFonts w:hint="default" w:ascii="仿宋" w:hAnsi="仿宋" w:eastAsia="仿宋" w:cs="Arial"/>
          <w:color w:val="000000"/>
          <w:kern w:val="0"/>
          <w:sz w:val="24"/>
          <w:szCs w:val="24"/>
          <w:lang w:val="en-US" w:eastAsia="zh-CN"/>
        </w:rPr>
      </w:pPr>
      <w:bookmarkStart w:id="2" w:name="_Toc2265147"/>
      <w:r>
        <w:rPr>
          <w:rFonts w:hint="eastAsia" w:ascii="仿宋" w:hAnsi="仿宋" w:eastAsia="仿宋" w:cs="Arial"/>
          <w:color w:val="000000"/>
          <w:kern w:val="0"/>
          <w:sz w:val="24"/>
          <w:szCs w:val="24"/>
          <w:lang w:val="en-US" w:eastAsia="zh-CN"/>
        </w:rPr>
        <w:t>1.</w:t>
      </w:r>
      <w:r>
        <w:rPr>
          <w:rFonts w:hint="eastAsia" w:ascii="仿宋" w:hAnsi="仿宋" w:eastAsia="仿宋" w:cs="Arial"/>
          <w:color w:val="000000"/>
          <w:kern w:val="0"/>
          <w:sz w:val="24"/>
          <w:szCs w:val="24"/>
        </w:rPr>
        <w:t>多行业企业</w:t>
      </w:r>
      <w:bookmarkEnd w:id="2"/>
      <w:r>
        <w:rPr>
          <w:rFonts w:hint="eastAsia" w:ascii="仿宋" w:hAnsi="仿宋" w:eastAsia="仿宋" w:cs="Arial"/>
          <w:color w:val="000000"/>
          <w:kern w:val="0"/>
          <w:sz w:val="24"/>
          <w:szCs w:val="24"/>
          <w:lang w:val="en-US" w:eastAsia="zh-CN"/>
        </w:rPr>
        <w:t>运营对抗</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系统模拟虚拟全国商业生态，支持制造行业、分销行业、零售行业与物流服务业等四大行业</w:t>
      </w:r>
      <w:r>
        <w:rPr>
          <w:rFonts w:hint="eastAsia" w:ascii="仿宋" w:hAnsi="仿宋" w:eastAsia="仿宋" w:cs="Arial"/>
          <w:color w:val="000000"/>
          <w:kern w:val="0"/>
          <w:sz w:val="24"/>
          <w:szCs w:val="24"/>
          <w:lang w:val="en-US" w:eastAsia="zh-CN"/>
        </w:rPr>
        <w:t>供应链运营对抗</w:t>
      </w:r>
      <w:r>
        <w:rPr>
          <w:rFonts w:hint="eastAsia" w:ascii="仿宋" w:hAnsi="仿宋" w:eastAsia="仿宋" w:cs="Arial"/>
          <w:color w:val="000000"/>
          <w:kern w:val="0"/>
          <w:sz w:val="24"/>
          <w:szCs w:val="24"/>
        </w:rPr>
        <w:t>，并能够进行角色之间的合作经营与实战对抗。</w:t>
      </w:r>
    </w:p>
    <w:p>
      <w:pPr>
        <w:rPr>
          <w:rFonts w:ascii="仿宋" w:hAnsi="仿宋" w:eastAsia="仿宋"/>
          <w:sz w:val="32"/>
          <w:szCs w:val="32"/>
        </w:rPr>
      </w:pPr>
      <w:r>
        <w:rPr>
          <w:rFonts w:ascii="仿宋" w:hAnsi="仿宋" w:eastAsia="仿宋"/>
          <w:sz w:val="32"/>
          <w:szCs w:val="32"/>
        </w:rPr>
        <w:drawing>
          <wp:inline distT="0" distB="0" distL="0" distR="0">
            <wp:extent cx="5274310" cy="2966720"/>
            <wp:effectExtent l="0" t="0" r="13970" b="5080"/>
            <wp:docPr id="3" name="图片 3" descr="C:\Users\27629\Desktop\百蝶方案(1)\供应链大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7629\Desktop\百蝶方案(1)\供应链大数据.png"/>
                    <pic:cNvPicPr>
                      <a:picLocks noChangeAspect="1" noChangeArrowheads="1"/>
                    </pic:cNvPicPr>
                  </pic:nvPicPr>
                  <pic:blipFill>
                    <a:blip r:embed="rId5" cstate="print"/>
                    <a:srcRect/>
                    <a:stretch>
                      <a:fillRect/>
                    </a:stretch>
                  </pic:blipFill>
                  <pic:spPr>
                    <a:xfrm>
                      <a:off x="0" y="0"/>
                      <a:ext cx="5274310" cy="2966720"/>
                    </a:xfrm>
                    <a:prstGeom prst="rect">
                      <a:avLst/>
                    </a:prstGeom>
                    <a:noFill/>
                    <a:ln>
                      <a:noFill/>
                    </a:ln>
                  </pic:spPr>
                </pic:pic>
              </a:graphicData>
            </a:graphic>
          </wp:inline>
        </w:drawing>
      </w:r>
    </w:p>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图1    供应链大数据平台截图</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lang w:val="en-US" w:eastAsia="zh-CN"/>
        </w:rPr>
        <w:t>1</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制造业企业运营</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该模块参照中国当代先进制造企业，模拟其真实完整的业务流程，并将优秀的管理理念、方法以游戏化方式呈现；该模块集合“采购、生产、库存、销售、订单、财务”六大管理系统，基本涵盖典型制造企业的日常业务，提取各业务模块中的管理决策点，以决策执行方式进行模拟仿真，严格遵循“管理就是决策”理念，让学生在庞杂的企业活动中学到管理的精髓。</w:t>
      </w:r>
    </w:p>
    <w:p>
      <w:pPr>
        <w:rPr>
          <w:rFonts w:ascii="仿宋" w:hAnsi="仿宋" w:eastAsia="仿宋"/>
          <w:sz w:val="32"/>
          <w:szCs w:val="32"/>
        </w:rPr>
      </w:pPr>
      <w:r>
        <w:rPr>
          <w:rFonts w:hint="eastAsia" w:ascii="仿宋" w:hAnsi="仿宋" w:eastAsia="仿宋"/>
          <w:sz w:val="32"/>
          <w:szCs w:val="32"/>
        </w:rPr>
        <w:drawing>
          <wp:inline distT="0" distB="0" distL="0" distR="0">
            <wp:extent cx="5274310" cy="2794000"/>
            <wp:effectExtent l="0" t="0" r="1397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794000"/>
                    </a:xfrm>
                    <a:prstGeom prst="rect">
                      <a:avLst/>
                    </a:prstGeom>
                  </pic:spPr>
                </pic:pic>
              </a:graphicData>
            </a:graphic>
          </wp:inline>
        </w:drawing>
      </w:r>
    </w:p>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图2    制造业企业运营界面截图</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lang w:val="en-US" w:eastAsia="zh-CN"/>
        </w:rPr>
        <w:t>2</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分销业企业运营</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该模块支持在全国范围内进行分销任务的可能性，学生可根据其企业发展战略在全国市场中自由发展；提供三种不同规模的角色选择，每种规模对应不同的业务处理能力，供学生在企业不同的发展阶段择优选择；同时学生可以根据自身企业业务需求，进行仓储网络的规划，CDC、RDC、FDC等不同渠道的建设和运营；不同的发展策略，产生不同的企业经营状况。</w:t>
      </w:r>
    </w:p>
    <w:p>
      <w:pPr>
        <w:rPr>
          <w:rFonts w:ascii="仿宋" w:hAnsi="仿宋" w:eastAsia="仿宋"/>
          <w:sz w:val="32"/>
          <w:szCs w:val="32"/>
        </w:rPr>
      </w:pPr>
      <w:r>
        <w:rPr>
          <w:rFonts w:hint="eastAsia" w:ascii="仿宋" w:hAnsi="仿宋" w:eastAsia="仿宋"/>
          <w:sz w:val="32"/>
          <w:szCs w:val="32"/>
        </w:rPr>
        <w:drawing>
          <wp:inline distT="0" distB="0" distL="0" distR="0">
            <wp:extent cx="5274310" cy="2798445"/>
            <wp:effectExtent l="0" t="0" r="1397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rcRect t="2132"/>
                    <a:stretch>
                      <a:fillRect/>
                    </a:stretch>
                  </pic:blipFill>
                  <pic:spPr>
                    <a:xfrm>
                      <a:off x="0" y="0"/>
                      <a:ext cx="5274310" cy="2798445"/>
                    </a:xfrm>
                    <a:prstGeom prst="rect">
                      <a:avLst/>
                    </a:prstGeom>
                    <a:ln>
                      <a:noFill/>
                    </a:ln>
                  </pic:spPr>
                </pic:pic>
              </a:graphicData>
            </a:graphic>
          </wp:inline>
        </w:drawing>
      </w:r>
    </w:p>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图3    分销业企业运营界面截图</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lang w:val="en-US" w:eastAsia="zh-CN"/>
        </w:rPr>
        <w:t>3</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零售业企业运营</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该模块参照典型零售店的基本结构，模拟零售商的日常工作业务，让学生以“店主“的身份进行实际操作：产品采购、产品上架与下架、产品库存、产品定价与促销等业务。IEMS提供翔实的零售销售数据、动态的企业供需数据、先进的库存管理策略，全方位为企业管理者提供决策支持。</w:t>
      </w:r>
    </w:p>
    <w:p>
      <w:pPr>
        <w:jc w:val="center"/>
        <w:rPr>
          <w:rFonts w:ascii="仿宋" w:hAnsi="仿宋" w:eastAsia="仿宋" w:cs="宋体"/>
          <w:kern w:val="0"/>
          <w:sz w:val="32"/>
          <w:szCs w:val="32"/>
        </w:rPr>
      </w:pPr>
      <w:r>
        <w:rPr>
          <w:rFonts w:hint="eastAsia" w:ascii="仿宋" w:hAnsi="仿宋" w:eastAsia="仿宋"/>
          <w:sz w:val="32"/>
          <w:szCs w:val="32"/>
        </w:rPr>
        <w:drawing>
          <wp:inline distT="0" distB="0" distL="0" distR="0">
            <wp:extent cx="5274310" cy="2696210"/>
            <wp:effectExtent l="0" t="0" r="1397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rcRect t="2133"/>
                    <a:stretch>
                      <a:fillRect/>
                    </a:stretch>
                  </pic:blipFill>
                  <pic:spPr>
                    <a:xfrm>
                      <a:off x="0" y="0"/>
                      <a:ext cx="5274310" cy="2696210"/>
                    </a:xfrm>
                    <a:prstGeom prst="rect">
                      <a:avLst/>
                    </a:prstGeom>
                    <a:ln>
                      <a:noFill/>
                    </a:ln>
                  </pic:spPr>
                </pic:pic>
              </a:graphicData>
            </a:graphic>
          </wp:inline>
        </w:drawing>
      </w:r>
      <w:r>
        <w:rPr>
          <w:rFonts w:hint="eastAsia" w:ascii="仿宋" w:hAnsi="仿宋" w:eastAsia="仿宋" w:cs="仿宋"/>
          <w:color w:val="000000"/>
          <w:sz w:val="21"/>
          <w:szCs w:val="21"/>
          <w:lang w:val="en-US" w:eastAsia="zh-CN"/>
        </w:rPr>
        <w:t>图4    零售业企业界面截图</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lang w:val="en-US" w:eastAsia="zh-CN"/>
        </w:rPr>
        <w:t>4</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物流业企业运营</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该模块参照中国物流行业龙头企业，模拟其业务流程，提供真实的业务仿真活动；对应物流公司的两大业务：运输和仓储，平台分别提供相应的仿真对象：运输车辆和仓库产品，学生可以在模拟过程中自由选择合适的仿真对象，来进行真实的业务操作；同时，平台结合现实中各城市真实距离来模拟出一套贴近于真实物流企业的运输产品价格系统，使得学生能够更真切的感受到物流公司的业务细节。</w:t>
      </w:r>
    </w:p>
    <w:p>
      <w:pPr>
        <w:rPr>
          <w:rFonts w:ascii="仿宋" w:hAnsi="仿宋" w:eastAsia="仿宋"/>
          <w:sz w:val="32"/>
          <w:szCs w:val="32"/>
        </w:rPr>
      </w:pPr>
      <w:r>
        <w:rPr>
          <w:rFonts w:hint="eastAsia" w:ascii="仿宋" w:hAnsi="仿宋" w:eastAsia="仿宋"/>
          <w:sz w:val="32"/>
          <w:szCs w:val="32"/>
        </w:rPr>
        <w:drawing>
          <wp:inline distT="0" distB="0" distL="0" distR="0">
            <wp:extent cx="5274310" cy="2704465"/>
            <wp:effectExtent l="0" t="0" r="1397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extLst>
                        <a:ext uri="{28A0092B-C50C-407E-A947-70E740481C1C}">
                          <a14:useLocalDpi xmlns:a14="http://schemas.microsoft.com/office/drawing/2010/main" val="0"/>
                        </a:ext>
                      </a:extLst>
                    </a:blip>
                    <a:srcRect t="2492"/>
                    <a:stretch>
                      <a:fillRect/>
                    </a:stretch>
                  </pic:blipFill>
                  <pic:spPr>
                    <a:xfrm>
                      <a:off x="0" y="0"/>
                      <a:ext cx="5274310" cy="2704465"/>
                    </a:xfrm>
                    <a:prstGeom prst="rect">
                      <a:avLst/>
                    </a:prstGeom>
                    <a:ln>
                      <a:noFill/>
                    </a:ln>
                  </pic:spPr>
                </pic:pic>
              </a:graphicData>
            </a:graphic>
          </wp:inline>
        </w:drawing>
      </w:r>
    </w:p>
    <w:p>
      <w:pPr>
        <w:jc w:val="center"/>
        <w:rPr>
          <w:rFonts w:ascii="仿宋" w:hAnsi="仿宋" w:eastAsia="仿宋" w:cs="宋体"/>
          <w:kern w:val="0"/>
          <w:sz w:val="32"/>
          <w:szCs w:val="32"/>
        </w:rPr>
      </w:pPr>
      <w:bookmarkStart w:id="3" w:name="_Toc2265148"/>
      <w:bookmarkStart w:id="4" w:name="_Toc521664155"/>
      <w:r>
        <w:rPr>
          <w:rFonts w:hint="eastAsia" w:ascii="仿宋" w:hAnsi="仿宋" w:eastAsia="仿宋" w:cs="仿宋"/>
          <w:color w:val="000000"/>
          <w:sz w:val="21"/>
          <w:szCs w:val="21"/>
          <w:lang w:val="en-US" w:eastAsia="zh-CN"/>
        </w:rPr>
        <w:t>图5    物流业企业界面截图</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2</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商业模式创新设计</w:t>
      </w:r>
      <w:bookmarkEnd w:id="3"/>
      <w:bookmarkEnd w:id="4"/>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近年来，随着互联网、大数据、物联网和智慧供应链等新技术的兴起改变了基本的商业</w:t>
      </w:r>
      <w:r>
        <w:rPr>
          <w:rFonts w:hint="eastAsia" w:ascii="仿宋" w:hAnsi="仿宋" w:eastAsia="仿宋" w:cs="Arial"/>
          <w:color w:val="000000"/>
          <w:kern w:val="0"/>
          <w:sz w:val="24"/>
          <w:szCs w:val="24"/>
        </w:rPr>
        <w:fldChar w:fldCharType="begin"/>
      </w:r>
      <w:r>
        <w:rPr>
          <w:rFonts w:hint="eastAsia" w:ascii="仿宋" w:hAnsi="仿宋" w:eastAsia="仿宋" w:cs="Arial"/>
          <w:color w:val="000000"/>
          <w:kern w:val="0"/>
          <w:sz w:val="24"/>
          <w:szCs w:val="24"/>
        </w:rPr>
        <w:instrText xml:space="preserve"> HYPERLINK "https://baike.baidu.com/item/%E7%AB%9E%E4%BA%89" \t "_blank" </w:instrText>
      </w:r>
      <w:r>
        <w:rPr>
          <w:rFonts w:hint="eastAsia" w:ascii="仿宋" w:hAnsi="仿宋" w:eastAsia="仿宋" w:cs="Arial"/>
          <w:color w:val="000000"/>
          <w:kern w:val="0"/>
          <w:sz w:val="24"/>
          <w:szCs w:val="24"/>
        </w:rPr>
        <w:fldChar w:fldCharType="separate"/>
      </w:r>
      <w:r>
        <w:rPr>
          <w:rFonts w:hint="eastAsia" w:ascii="仿宋" w:hAnsi="仿宋" w:eastAsia="仿宋" w:cs="Arial"/>
          <w:color w:val="000000"/>
          <w:kern w:val="0"/>
          <w:sz w:val="24"/>
          <w:szCs w:val="24"/>
        </w:rPr>
        <w:t>竞争</w:t>
      </w:r>
      <w:r>
        <w:rPr>
          <w:rFonts w:hint="eastAsia" w:ascii="仿宋" w:hAnsi="仿宋" w:eastAsia="仿宋" w:cs="Arial"/>
          <w:color w:val="000000"/>
          <w:kern w:val="0"/>
          <w:sz w:val="24"/>
          <w:szCs w:val="24"/>
        </w:rPr>
        <w:fldChar w:fldCharType="end"/>
      </w:r>
      <w:r>
        <w:rPr>
          <w:rFonts w:hint="eastAsia" w:ascii="仿宋" w:hAnsi="仿宋" w:eastAsia="仿宋" w:cs="Arial"/>
          <w:color w:val="000000"/>
          <w:kern w:val="0"/>
          <w:sz w:val="24"/>
          <w:szCs w:val="24"/>
        </w:rPr>
        <w:t>环境和经济规则，一批基于它的新型企业应运而生。新涌现的一些企业，如京东、盒马鲜生、货拉拉等，在短短几年时间，就取得巨大发展，产生了强力的示范效应。商业模式创新与供应链运营模式相互影响，从而决定了组织整体效率。作为新时代的大学生，应该紧跟社会与科技的发展，掌握最前沿的知识与能力，提高就业与创业的层级。</w:t>
      </w:r>
    </w:p>
    <w:p>
      <w:pPr>
        <w:jc w:val="center"/>
        <w:rPr>
          <w:rFonts w:ascii="仿宋" w:hAnsi="仿宋" w:eastAsia="仿宋" w:cs="宋体"/>
          <w:kern w:val="0"/>
          <w:sz w:val="32"/>
          <w:szCs w:val="32"/>
        </w:rPr>
      </w:pPr>
      <w:r>
        <w:rPr>
          <w:rFonts w:ascii="仿宋" w:hAnsi="仿宋" w:eastAsia="仿宋"/>
          <w:sz w:val="32"/>
          <w:szCs w:val="32"/>
        </w:rPr>
        <w:drawing>
          <wp:inline distT="0" distB="0" distL="0" distR="0">
            <wp:extent cx="5274310" cy="2771140"/>
            <wp:effectExtent l="0" t="0" r="1397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cstate="print">
                      <a:extLst>
                        <a:ext uri="{28A0092B-C50C-407E-A947-70E740481C1C}">
                          <a14:useLocalDpi xmlns:a14="http://schemas.microsoft.com/office/drawing/2010/main" val="0"/>
                        </a:ext>
                      </a:extLst>
                    </a:blip>
                    <a:srcRect t="2153"/>
                    <a:stretch>
                      <a:fillRect/>
                    </a:stretch>
                  </pic:blipFill>
                  <pic:spPr>
                    <a:xfrm>
                      <a:off x="0" y="0"/>
                      <a:ext cx="5274310" cy="2771140"/>
                    </a:xfrm>
                    <a:prstGeom prst="rect">
                      <a:avLst/>
                    </a:prstGeom>
                    <a:ln>
                      <a:noFill/>
                    </a:ln>
                  </pic:spPr>
                </pic:pic>
              </a:graphicData>
            </a:graphic>
          </wp:inline>
        </w:drawing>
      </w:r>
      <w:r>
        <w:rPr>
          <w:rFonts w:hint="eastAsia" w:ascii="仿宋" w:hAnsi="仿宋" w:eastAsia="仿宋" w:cs="仿宋"/>
          <w:color w:val="000000"/>
          <w:sz w:val="21"/>
          <w:szCs w:val="21"/>
          <w:lang w:val="en-US" w:eastAsia="zh-CN"/>
        </w:rPr>
        <w:t>图6    商业模式创新设计界面截图</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供应链运营平台软件紧跟当下商业模式，系统具有强大的柔性功能，支持基于平台进行生产系统、采购策略、库存策略、销售策略、运输策略等商业模式创新。基于不同产品行业（快消、服装、3C、家电、重工等）学生可在系统中实现以下包含但不仅限于此的推式供应链、拉式供应链、集中化分销、分散化分销、连锁零售、新零售、干线网络、一体化物流服务等供应链商业模式。</w:t>
      </w:r>
    </w:p>
    <w:p>
      <w:pPr>
        <w:adjustRightInd w:val="0"/>
        <w:snapToGrid w:val="0"/>
        <w:spacing w:line="440" w:lineRule="exact"/>
        <w:ind w:firstLine="480" w:firstLineChars="200"/>
        <w:rPr>
          <w:rFonts w:hint="eastAsia" w:ascii="仿宋" w:hAnsi="仿宋" w:eastAsia="仿宋" w:cs="Arial"/>
          <w:color w:val="000000"/>
          <w:kern w:val="0"/>
          <w:sz w:val="24"/>
          <w:szCs w:val="24"/>
        </w:rPr>
      </w:pPr>
      <w:bookmarkStart w:id="5" w:name="_Toc521664156"/>
      <w:bookmarkStart w:id="6" w:name="_Toc2265149"/>
      <w:r>
        <w:rPr>
          <w:rFonts w:hint="eastAsia" w:ascii="仿宋" w:hAnsi="仿宋" w:eastAsia="仿宋" w:cs="Arial"/>
          <w:color w:val="000000"/>
          <w:kern w:val="0"/>
          <w:sz w:val="24"/>
          <w:szCs w:val="24"/>
        </w:rPr>
        <w:t>3</w:t>
      </w: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rPr>
        <w:t>企业运营实战对抗</w:t>
      </w:r>
      <w:bookmarkEnd w:id="5"/>
      <w:bookmarkEnd w:id="6"/>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供应链运营平台软件提供联网模式，学生以角色扮演方式，各自选择其扮演角色，在同一个经济系统中相互合作，共同竞争；另外，学生在实战对抗过程中还可以进行实时交流；通过模拟全国32个主要城市的经济发展规律，模拟出各具特色的经济系统，学生可以在全国范围下自由选择城市发展，不同城市的经济发展趋势会影响其发展进度；同时，平台提供实时的财务报表，可以让学生在对抗过程中及时掌握其公司经营状况，做出相应的调整。</w:t>
      </w:r>
    </w:p>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rPr>
        <w:t>最后，实战对抗结束过后，系统会根据整个对抗过程自动生成各自企业的对抗分析报告，以及所有对抗成员的对抗结果对比分析报告，让学生及时的了解到经营过程中的问题所在以及同优秀企业之间的差距，做到知己知彼，取长补短。</w:t>
      </w:r>
    </w:p>
    <w:p>
      <w:pPr>
        <w:adjustRightInd w:val="0"/>
        <w:snapToGrid w:val="0"/>
        <w:spacing w:before="156" w:beforeLines="50" w:after="156" w:afterLines="50" w:line="400" w:lineRule="exact"/>
        <w:ind w:firstLine="562" w:firstLineChars="200"/>
        <w:outlineLvl w:val="0"/>
        <w:rPr>
          <w:rFonts w:hint="default"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九、评分办法</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1.大赛在赛项执委会领导下，赛项裁判组负责赛项成绩评定工作，确保比赛成绩准确无误。</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2.大赛专家组负责大赛命题工作；比赛前通过抽签确定各团队顺序。</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3.裁判报到后，封闭管理。</w:t>
      </w:r>
    </w:p>
    <w:p>
      <w:pPr>
        <w:adjustRightInd w:val="0"/>
        <w:snapToGrid w:val="0"/>
        <w:spacing w:line="440" w:lineRule="exact"/>
        <w:ind w:firstLine="480" w:firstLineChars="200"/>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比赛评分</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比赛由供应链运营理论考核成绩（30%），百蝶ISCM智慧供应链运营平台软件经营成绩（40%），</w:t>
      </w:r>
      <w:r>
        <w:rPr>
          <w:rFonts w:hint="eastAsia" w:ascii="仿宋" w:hAnsi="仿宋" w:eastAsia="仿宋" w:cs="仿宋"/>
          <w:color w:val="000000"/>
          <w:kern w:val="0"/>
          <w:sz w:val="24"/>
          <w:szCs w:val="24"/>
          <w:lang w:val="en-US" w:eastAsia="zh-CN"/>
        </w:rPr>
        <w:t>汇报</w:t>
      </w:r>
      <w:r>
        <w:rPr>
          <w:rFonts w:hint="eastAsia" w:ascii="仿宋" w:hAnsi="仿宋" w:eastAsia="仿宋" w:cs="仿宋"/>
          <w:color w:val="000000"/>
          <w:kern w:val="0"/>
          <w:sz w:val="24"/>
          <w:szCs w:val="24"/>
        </w:rPr>
        <w:t>答辩赛（30%）三部分组成。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）供应链运营理论考核成绩根据参赛选手的试题</w:t>
      </w:r>
      <w:r>
        <w:rPr>
          <w:rFonts w:hint="eastAsia" w:ascii="仿宋" w:hAnsi="仿宋" w:eastAsia="仿宋" w:cs="仿宋"/>
          <w:color w:val="000000"/>
          <w:kern w:val="0"/>
          <w:sz w:val="24"/>
          <w:szCs w:val="24"/>
          <w:lang w:val="en-US" w:eastAsia="zh-CN"/>
        </w:rPr>
        <w:t>系统</w:t>
      </w:r>
      <w:r>
        <w:rPr>
          <w:rFonts w:hint="eastAsia" w:ascii="仿宋" w:hAnsi="仿宋" w:eastAsia="仿宋" w:cs="仿宋"/>
          <w:color w:val="000000"/>
          <w:kern w:val="0"/>
          <w:sz w:val="24"/>
          <w:szCs w:val="24"/>
        </w:rPr>
        <w:t>评分确定。</w:t>
      </w:r>
      <w:r>
        <w:rPr>
          <w:rFonts w:hint="eastAsia" w:ascii="仿宋" w:hAnsi="仿宋" w:eastAsia="仿宋" w:cs="仿宋"/>
          <w:color w:val="000000"/>
          <w:kern w:val="0"/>
          <w:sz w:val="24"/>
          <w:szCs w:val="24"/>
          <w:lang w:val="en-US" w:eastAsia="zh-CN"/>
        </w:rPr>
        <w:t>理论考核评分标准见表3。</w:t>
      </w:r>
    </w:p>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表3    理论考核评分标准</w:t>
      </w:r>
    </w:p>
    <w:tbl>
      <w:tblPr>
        <w:tblStyle w:val="9"/>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100"/>
        <w:gridCol w:w="2893"/>
        <w:gridCol w:w="3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415"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评分项目</w:t>
            </w:r>
          </w:p>
        </w:tc>
        <w:tc>
          <w:tcPr>
            <w:tcW w:w="1100"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题目数</w:t>
            </w:r>
          </w:p>
        </w:tc>
        <w:tc>
          <w:tcPr>
            <w:tcW w:w="2893"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分值</w:t>
            </w:r>
          </w:p>
        </w:tc>
        <w:tc>
          <w:tcPr>
            <w:tcW w:w="3137"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15"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单选题</w:t>
            </w:r>
          </w:p>
        </w:tc>
        <w:tc>
          <w:tcPr>
            <w:tcW w:w="110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5</w:t>
            </w:r>
          </w:p>
        </w:tc>
        <w:tc>
          <w:tcPr>
            <w:tcW w:w="2893"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每道4分，共计20分</w:t>
            </w:r>
          </w:p>
        </w:tc>
        <w:tc>
          <w:tcPr>
            <w:tcW w:w="3137"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少选多选均不得分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15"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判断题</w:t>
            </w:r>
          </w:p>
        </w:tc>
        <w:tc>
          <w:tcPr>
            <w:tcW w:w="110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10</w:t>
            </w:r>
          </w:p>
        </w:tc>
        <w:tc>
          <w:tcPr>
            <w:tcW w:w="2893"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每道3分，共计30分</w:t>
            </w:r>
          </w:p>
        </w:tc>
        <w:tc>
          <w:tcPr>
            <w:tcW w:w="3137"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只有正确或错误两个选项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15"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多选题</w:t>
            </w:r>
          </w:p>
        </w:tc>
        <w:tc>
          <w:tcPr>
            <w:tcW w:w="110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5</w:t>
            </w:r>
          </w:p>
        </w:tc>
        <w:tc>
          <w:tcPr>
            <w:tcW w:w="2893"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每道6分，共计30分</w:t>
            </w:r>
          </w:p>
        </w:tc>
        <w:tc>
          <w:tcPr>
            <w:tcW w:w="3137"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少选多选均不得分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15"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应用题</w:t>
            </w:r>
          </w:p>
        </w:tc>
        <w:tc>
          <w:tcPr>
            <w:tcW w:w="110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w:t>
            </w:r>
          </w:p>
        </w:tc>
        <w:tc>
          <w:tcPr>
            <w:tcW w:w="2893"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每道10分，共计20分</w:t>
            </w:r>
          </w:p>
        </w:tc>
        <w:tc>
          <w:tcPr>
            <w:tcW w:w="3137"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根据题目要求确定最佳答案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15"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总分</w:t>
            </w:r>
          </w:p>
        </w:tc>
        <w:tc>
          <w:tcPr>
            <w:tcW w:w="7130" w:type="dxa"/>
            <w:gridSpan w:val="3"/>
            <w:vAlign w:val="center"/>
          </w:tcPr>
          <w:p>
            <w:pPr>
              <w:adjustRightInd w:val="0"/>
              <w:snapToGrid w:val="0"/>
              <w:spacing w:line="240" w:lineRule="atLeast"/>
              <w:jc w:val="center"/>
              <w:rPr>
                <w:rFonts w:hint="eastAsia" w:ascii="仿宋_GB2312" w:hAnsi="宋体" w:eastAsia="仿宋_GB2312" w:cstheme="minorBidi"/>
                <w:sz w:val="21"/>
                <w:szCs w:val="21"/>
                <w:lang w:val="en-US" w:eastAsia="zh-CN"/>
              </w:rPr>
            </w:pPr>
            <w:r>
              <w:rPr>
                <w:rFonts w:hint="eastAsia" w:ascii="仿宋_GB2312" w:hAnsi="宋体" w:eastAsia="仿宋_GB2312" w:cstheme="minorBidi"/>
                <w:sz w:val="21"/>
                <w:szCs w:val="21"/>
              </w:rPr>
              <w:t>100</w:t>
            </w:r>
            <w:r>
              <w:rPr>
                <w:rFonts w:hint="eastAsia" w:ascii="仿宋_GB2312" w:hAnsi="宋体" w:eastAsia="仿宋_GB2312" w:cstheme="minorBidi"/>
                <w:sz w:val="21"/>
                <w:szCs w:val="21"/>
                <w:lang w:val="en-US" w:eastAsia="zh-CN"/>
              </w:rPr>
              <w:t>分</w:t>
            </w:r>
          </w:p>
        </w:tc>
      </w:tr>
    </w:tbl>
    <w:p>
      <w:pPr>
        <w:adjustRightInd w:val="0"/>
        <w:snapToGrid w:val="0"/>
        <w:spacing w:line="440" w:lineRule="exact"/>
        <w:ind w:firstLine="480" w:firstLineChars="200"/>
        <w:rPr>
          <w:rFonts w:hint="default" w:ascii="仿宋" w:hAnsi="仿宋" w:eastAsia="仿宋" w:cs="Arial"/>
          <w:color w:val="000000"/>
          <w:kern w:val="0"/>
          <w:sz w:val="28"/>
          <w:szCs w:val="28"/>
          <w:lang w:val="en-US" w:eastAsia="zh-CN"/>
        </w:rPr>
      </w:pP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lang w:val="en-US" w:eastAsia="zh-CN"/>
        </w:rPr>
        <w:t>2</w:t>
      </w:r>
      <w:r>
        <w:rPr>
          <w:rFonts w:hint="eastAsia" w:ascii="仿宋" w:hAnsi="仿宋" w:eastAsia="仿宋" w:cs="Arial"/>
          <w:color w:val="000000"/>
          <w:kern w:val="0"/>
          <w:sz w:val="24"/>
          <w:szCs w:val="24"/>
        </w:rPr>
        <w:t>）供应链运营平台软件经营成绩根据企业几项关键经营指标根据相应权重以及考生平均水平综合确定。两场比赛的平均分作为该部分的最终成绩。供应链运营模拟对抗评分标准</w:t>
      </w:r>
      <w:r>
        <w:rPr>
          <w:rFonts w:hint="eastAsia" w:ascii="仿宋" w:hAnsi="仿宋" w:eastAsia="仿宋" w:cs="Arial"/>
          <w:color w:val="000000"/>
          <w:kern w:val="0"/>
          <w:sz w:val="24"/>
          <w:szCs w:val="24"/>
          <w:lang w:val="en-US" w:eastAsia="zh-CN"/>
        </w:rPr>
        <w:t>见表4。</w:t>
      </w:r>
    </w:p>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表4    供应链运营模拟对抗评分标准</w:t>
      </w:r>
    </w:p>
    <w:tbl>
      <w:tblPr>
        <w:tblStyle w:val="8"/>
        <w:tblpPr w:leftFromText="180" w:rightFromText="180" w:vertAnchor="text" w:horzAnchor="page" w:tblpX="1792" w:tblpY="432"/>
        <w:tblOverlap w:val="never"/>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608"/>
        <w:gridCol w:w="1209"/>
        <w:gridCol w:w="3411"/>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754" w:type="dxa"/>
            <w:gridSpan w:val="2"/>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评分项目</w:t>
            </w:r>
          </w:p>
        </w:tc>
        <w:tc>
          <w:tcPr>
            <w:tcW w:w="1209"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评分细则</w:t>
            </w:r>
          </w:p>
        </w:tc>
        <w:tc>
          <w:tcPr>
            <w:tcW w:w="3411"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计算公式</w:t>
            </w:r>
          </w:p>
        </w:tc>
        <w:tc>
          <w:tcPr>
            <w:tcW w:w="2268" w:type="dxa"/>
            <w:gridSpan w:val="4"/>
            <w:shd w:val="clear" w:color="auto" w:fill="auto"/>
            <w:noWrap/>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754" w:type="dxa"/>
            <w:gridSpan w:val="2"/>
            <w:vMerge w:val="restart"/>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净资产</w:t>
            </w:r>
          </w:p>
        </w:tc>
        <w:tc>
          <w:tcPr>
            <w:tcW w:w="1209" w:type="dxa"/>
            <w:vMerge w:val="restart"/>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竞赛结束时集团企业所有者权益总和：即资产总额-负债总额</w:t>
            </w:r>
          </w:p>
        </w:tc>
        <w:tc>
          <w:tcPr>
            <w:tcW w:w="3411"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经营周期内，各团队中最高净资产为m，最低为n，你们团队净资产为X，各团队得分计算公式Y=[8/(m-n)]X+[(12m-20n)/(m-n)]</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【最高者得分20，最低者得分12】</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制造商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分销商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零售商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物流商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54" w:type="dxa"/>
            <w:gridSpan w:val="2"/>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1209" w:type="dxa"/>
            <w:vMerge w:val="continue"/>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p>
        </w:tc>
        <w:tc>
          <w:tcPr>
            <w:tcW w:w="3411" w:type="dxa"/>
            <w:vMerge w:val="continue"/>
            <w:vAlign w:val="center"/>
          </w:tcPr>
          <w:p>
            <w:pPr>
              <w:adjustRightInd w:val="0"/>
              <w:snapToGrid w:val="0"/>
              <w:spacing w:line="240" w:lineRule="atLeast"/>
              <w:jc w:val="left"/>
              <w:rPr>
                <w:rFonts w:hint="eastAsia" w:ascii="仿宋_GB2312" w:hAnsi="宋体" w:eastAsia="仿宋_GB2312" w:cstheme="minorBidi"/>
                <w:sz w:val="21"/>
                <w:szCs w:val="21"/>
              </w:rPr>
            </w:pP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30</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54" w:type="dxa"/>
            <w:gridSpan w:val="2"/>
            <w:vMerge w:val="restart"/>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投资回报率</w:t>
            </w:r>
          </w:p>
        </w:tc>
        <w:tc>
          <w:tcPr>
            <w:tcW w:w="1209" w:type="dxa"/>
            <w:vMerge w:val="restart"/>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总营业利润/投资总额</w:t>
            </w:r>
          </w:p>
        </w:tc>
        <w:tc>
          <w:tcPr>
            <w:tcW w:w="3411"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经营周期内，各团队中最高投资回报率为m，最低为n，你们团队投资回报率为X，各团队得分计算公式Y=[8/(m-n)]X+[(12m-20n)/(m-n)]</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【最高者得分20，最低者得分12】</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制造商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分销商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零售商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物流商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54" w:type="dxa"/>
            <w:gridSpan w:val="2"/>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1209" w:type="dxa"/>
            <w:vMerge w:val="continue"/>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p>
        </w:tc>
        <w:tc>
          <w:tcPr>
            <w:tcW w:w="3411" w:type="dxa"/>
            <w:vMerge w:val="continue"/>
            <w:vAlign w:val="center"/>
          </w:tcPr>
          <w:p>
            <w:pPr>
              <w:adjustRightInd w:val="0"/>
              <w:snapToGrid w:val="0"/>
              <w:spacing w:line="240" w:lineRule="atLeast"/>
              <w:jc w:val="left"/>
              <w:rPr>
                <w:rFonts w:hint="eastAsia" w:ascii="仿宋_GB2312" w:hAnsi="宋体" w:eastAsia="仿宋_GB2312" w:cstheme="minorBidi"/>
                <w:sz w:val="21"/>
                <w:szCs w:val="21"/>
              </w:rPr>
            </w:pP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54" w:type="dxa"/>
            <w:gridSpan w:val="2"/>
            <w:vMerge w:val="restart"/>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市场占有率</w:t>
            </w:r>
          </w:p>
        </w:tc>
        <w:tc>
          <w:tcPr>
            <w:tcW w:w="1209" w:type="dxa"/>
            <w:vMerge w:val="restart"/>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集团企业销售产品数额/当前市场上所有企业的销售产品总额</w:t>
            </w:r>
          </w:p>
        </w:tc>
        <w:tc>
          <w:tcPr>
            <w:tcW w:w="3411"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经营周期内，各团队中最高市场占有率为m，最低为n，你们团队市场占有率为X，各团队得分计算公式Y=[8/(m-n)]X+[(12m-20n)/(m-n)]</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【最高者得分20，最低者得分12】</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制造商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分销商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零售商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物流商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54" w:type="dxa"/>
            <w:gridSpan w:val="2"/>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1209"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3411"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146"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供应链运营指标：质量</w:t>
            </w:r>
          </w:p>
        </w:tc>
        <w:tc>
          <w:tcPr>
            <w:tcW w:w="608" w:type="dxa"/>
            <w:vMerge w:val="restart"/>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库存周转率</w:t>
            </w:r>
          </w:p>
        </w:tc>
        <w:tc>
          <w:tcPr>
            <w:tcW w:w="1209" w:type="dxa"/>
            <w:vMerge w:val="restart"/>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集团企业产品销量/平均库存</w:t>
            </w:r>
          </w:p>
        </w:tc>
        <w:tc>
          <w:tcPr>
            <w:tcW w:w="3411"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经营周期内，各团队中最高库存周转率为m，最低为n，你们团队库存周转率为X，各团队得分计算公式Y=[6/(m-n)]X+[(9m-15n)/(m-n)]</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【最高者得分15，最低者得分9】</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制造商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分销商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零售商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物流商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146"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608" w:type="dxa"/>
            <w:vMerge w:val="continue"/>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1209"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3411"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146"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供应链运营指标：时间</w:t>
            </w:r>
          </w:p>
        </w:tc>
        <w:tc>
          <w:tcPr>
            <w:tcW w:w="608" w:type="dxa"/>
            <w:vMerge w:val="restart"/>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准时交货率</w:t>
            </w:r>
          </w:p>
        </w:tc>
        <w:tc>
          <w:tcPr>
            <w:tcW w:w="1209" w:type="dxa"/>
            <w:vMerge w:val="restart"/>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在合同期限内完成的订单数/企业所接受的所有订单数</w:t>
            </w:r>
          </w:p>
        </w:tc>
        <w:tc>
          <w:tcPr>
            <w:tcW w:w="3411"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经营周期内，各团队中最高准时交货率为m，最低为n，你们团队准时交货率为X，各团队得分计算公式Y=[6/(m-n)]X+[(9m-15n)/(m-n)]</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【最高者得分15，最低者得分9】</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制造商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分销商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零售商</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物流商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146"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608" w:type="dxa"/>
            <w:vMerge w:val="continue"/>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1209"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3411"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10</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15</w:t>
            </w:r>
          </w:p>
        </w:tc>
        <w:tc>
          <w:tcPr>
            <w:tcW w:w="567"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46"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供应链运营指标：成本</w:t>
            </w:r>
          </w:p>
        </w:tc>
        <w:tc>
          <w:tcPr>
            <w:tcW w:w="608"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库存成本</w:t>
            </w:r>
          </w:p>
        </w:tc>
        <w:tc>
          <w:tcPr>
            <w:tcW w:w="1209"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竞赛期间企业产生的原材料、成品库存总成本</w:t>
            </w:r>
          </w:p>
        </w:tc>
        <w:tc>
          <w:tcPr>
            <w:tcW w:w="3411" w:type="dxa"/>
            <w:vMerge w:val="restart"/>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经营周期内，各团队中最高成本为m，最低为n，你们团队成本为X，各团队得分计算公式Y=[6/(m-n)]X+[(9m-15n)/(m-n)]</w:t>
            </w:r>
          </w:p>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【最高者得分15，最低者得分9】</w:t>
            </w:r>
          </w:p>
        </w:tc>
        <w:tc>
          <w:tcPr>
            <w:tcW w:w="567" w:type="dxa"/>
            <w:vMerge w:val="restart"/>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制造商</w:t>
            </w:r>
          </w:p>
        </w:tc>
        <w:tc>
          <w:tcPr>
            <w:tcW w:w="567" w:type="dxa"/>
            <w:vMerge w:val="restart"/>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分销商</w:t>
            </w:r>
          </w:p>
        </w:tc>
        <w:tc>
          <w:tcPr>
            <w:tcW w:w="567" w:type="dxa"/>
            <w:vMerge w:val="restart"/>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零售商</w:t>
            </w:r>
          </w:p>
        </w:tc>
        <w:tc>
          <w:tcPr>
            <w:tcW w:w="567" w:type="dxa"/>
            <w:vMerge w:val="restart"/>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物流商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146"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608"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运输成本</w:t>
            </w:r>
          </w:p>
        </w:tc>
        <w:tc>
          <w:tcPr>
            <w:tcW w:w="1209"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竞赛期间因执行企业间合同产生的运输总成本</w:t>
            </w:r>
          </w:p>
        </w:tc>
        <w:tc>
          <w:tcPr>
            <w:tcW w:w="3411"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146"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608"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采购成本</w:t>
            </w:r>
          </w:p>
        </w:tc>
        <w:tc>
          <w:tcPr>
            <w:tcW w:w="1209"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供应链企业进行采购任务产生的原材料或成品成本和业务活动成本</w:t>
            </w:r>
          </w:p>
        </w:tc>
        <w:tc>
          <w:tcPr>
            <w:tcW w:w="3411"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restart"/>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10</w:t>
            </w:r>
          </w:p>
        </w:tc>
        <w:tc>
          <w:tcPr>
            <w:tcW w:w="567" w:type="dxa"/>
            <w:vMerge w:val="restart"/>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5</w:t>
            </w:r>
          </w:p>
        </w:tc>
        <w:tc>
          <w:tcPr>
            <w:tcW w:w="567" w:type="dxa"/>
            <w:vMerge w:val="restart"/>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5</w:t>
            </w:r>
          </w:p>
        </w:tc>
        <w:tc>
          <w:tcPr>
            <w:tcW w:w="567" w:type="dxa"/>
            <w:vMerge w:val="restart"/>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146"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608" w:type="dxa"/>
            <w:shd w:val="clear" w:color="auto" w:fill="auto"/>
            <w:noWrap/>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生产成本</w:t>
            </w:r>
          </w:p>
        </w:tc>
        <w:tc>
          <w:tcPr>
            <w:tcW w:w="1209"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制造商执行生产业务产生的生产运营成本</w:t>
            </w:r>
          </w:p>
        </w:tc>
        <w:tc>
          <w:tcPr>
            <w:tcW w:w="3411" w:type="dxa"/>
            <w:vMerge w:val="continue"/>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c>
          <w:tcPr>
            <w:tcW w:w="567" w:type="dxa"/>
            <w:vMerge w:val="continue"/>
            <w:shd w:val="clear" w:color="auto" w:fill="auto"/>
            <w:vAlign w:val="center"/>
          </w:tcPr>
          <w:p>
            <w:pPr>
              <w:adjustRightInd w:val="0"/>
              <w:snapToGrid w:val="0"/>
              <w:spacing w:line="240" w:lineRule="atLeast"/>
              <w:jc w:val="center"/>
              <w:rPr>
                <w:rFonts w:hint="eastAsia" w:ascii="仿宋_GB2312" w:hAnsi="宋体" w:eastAsia="仿宋_GB2312"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74" w:type="dxa"/>
            <w:gridSpan w:val="4"/>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总分（制造、分销、零售、物流分别计分，表中计算公式以制造商为例）</w:t>
            </w:r>
          </w:p>
        </w:tc>
        <w:tc>
          <w:tcPr>
            <w:tcW w:w="567"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100</w:t>
            </w:r>
          </w:p>
        </w:tc>
        <w:tc>
          <w:tcPr>
            <w:tcW w:w="567"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100</w:t>
            </w:r>
          </w:p>
        </w:tc>
        <w:tc>
          <w:tcPr>
            <w:tcW w:w="567"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100</w:t>
            </w:r>
          </w:p>
        </w:tc>
        <w:tc>
          <w:tcPr>
            <w:tcW w:w="567" w:type="dxa"/>
            <w:shd w:val="clear" w:color="auto" w:fill="auto"/>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42" w:type="dxa"/>
            <w:gridSpan w:val="8"/>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1.排名规则：按照总分高低进行排名，破产团队按照破产先后顺序进行排名，破产早的排名靠后。</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2.若参赛队伍在比赛过程中建设并运营多家企业，以多家企业运营实施的各个指标值作为最终数值计算得出总成绩，其中市场占有率、净资产、运营成本指标加总，投资回报率、库存周转率、准时交货率加总后平均。</w:t>
            </w:r>
          </w:p>
        </w:tc>
      </w:tr>
    </w:tbl>
    <w:p>
      <w:pPr>
        <w:adjustRightInd w:val="0"/>
        <w:snapToGrid w:val="0"/>
        <w:spacing w:line="440" w:lineRule="exact"/>
        <w:ind w:firstLine="480" w:firstLineChars="200"/>
        <w:rPr>
          <w:rFonts w:hint="eastAsia" w:ascii="仿宋" w:hAnsi="仿宋" w:eastAsia="仿宋" w:cs="Arial"/>
          <w:color w:val="000000"/>
          <w:kern w:val="0"/>
          <w:sz w:val="24"/>
          <w:szCs w:val="24"/>
        </w:rPr>
      </w:pPr>
      <w:r>
        <w:rPr>
          <w:rFonts w:hint="eastAsia" w:ascii="仿宋" w:hAnsi="仿宋" w:eastAsia="仿宋" w:cs="Arial"/>
          <w:color w:val="000000"/>
          <w:kern w:val="0"/>
          <w:sz w:val="24"/>
          <w:szCs w:val="24"/>
          <w:lang w:eastAsia="zh-CN"/>
        </w:rPr>
        <w:t>（</w:t>
      </w:r>
      <w:r>
        <w:rPr>
          <w:rFonts w:hint="eastAsia" w:ascii="仿宋" w:hAnsi="仿宋" w:eastAsia="仿宋" w:cs="Arial"/>
          <w:color w:val="000000"/>
          <w:kern w:val="0"/>
          <w:sz w:val="24"/>
          <w:szCs w:val="24"/>
          <w:lang w:val="en-US" w:eastAsia="zh-CN"/>
        </w:rPr>
        <w:t>3</w:t>
      </w:r>
      <w:r>
        <w:rPr>
          <w:rFonts w:hint="eastAsia" w:ascii="仿宋" w:hAnsi="仿宋" w:eastAsia="仿宋" w:cs="Arial"/>
          <w:color w:val="000000"/>
          <w:kern w:val="0"/>
          <w:sz w:val="24"/>
          <w:szCs w:val="24"/>
        </w:rPr>
        <w:t>）答辩赛</w:t>
      </w:r>
    </w:p>
    <w:p>
      <w:pPr>
        <w:adjustRightInd w:val="0"/>
        <w:snapToGrid w:val="0"/>
        <w:spacing w:line="440" w:lineRule="exact"/>
        <w:ind w:firstLine="480" w:firstLineChars="200"/>
        <w:rPr>
          <w:rFonts w:hint="default" w:ascii="仿宋" w:hAnsi="仿宋" w:eastAsia="仿宋" w:cs="Arial"/>
          <w:color w:val="000000"/>
          <w:kern w:val="0"/>
          <w:sz w:val="24"/>
          <w:szCs w:val="24"/>
          <w:lang w:val="en-US"/>
        </w:rPr>
      </w:pPr>
      <w:r>
        <w:rPr>
          <w:rFonts w:hint="eastAsia" w:ascii="仿宋" w:hAnsi="仿宋" w:eastAsia="仿宋" w:cs="Arial"/>
          <w:color w:val="000000"/>
          <w:kern w:val="0"/>
          <w:sz w:val="24"/>
          <w:szCs w:val="24"/>
        </w:rPr>
        <w:t>讲解评分以打专家组打分的方式，评分专家组成员不少于三名，以平均成绩作为该队伍本赛段最终成绩。</w:t>
      </w:r>
      <w:r>
        <w:rPr>
          <w:rFonts w:hint="eastAsia" w:ascii="仿宋" w:hAnsi="仿宋" w:eastAsia="仿宋" w:cs="Arial"/>
          <w:color w:val="000000"/>
          <w:kern w:val="0"/>
          <w:sz w:val="24"/>
          <w:szCs w:val="24"/>
          <w:lang w:val="en-US" w:eastAsia="zh-CN"/>
        </w:rPr>
        <w:t>供应链运营与管理创新方案答辩PPT制作内容要求见表5，评分标准见表6。</w:t>
      </w:r>
    </w:p>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表5    供应链运营与管理创新方案答辩PPT制作内容要求</w:t>
      </w:r>
    </w:p>
    <w:tbl>
      <w:tblPr>
        <w:tblStyle w:val="9"/>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555"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模块</w:t>
            </w:r>
          </w:p>
        </w:tc>
        <w:tc>
          <w:tcPr>
            <w:tcW w:w="6804"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1555"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运营方案设计</w:t>
            </w:r>
          </w:p>
        </w:tc>
        <w:tc>
          <w:tcPr>
            <w:tcW w:w="6804" w:type="dxa"/>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运营方案设计主要内容包含以下几点：</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（1）需求预测（选择合适的预测方法根据20</w:t>
            </w:r>
            <w:r>
              <w:rPr>
                <w:rFonts w:hint="eastAsia" w:ascii="仿宋_GB2312" w:hAnsi="宋体" w:eastAsia="仿宋_GB2312" w:cstheme="minorBidi"/>
                <w:sz w:val="21"/>
                <w:szCs w:val="21"/>
                <w:lang w:val="en-US" w:eastAsia="zh-CN"/>
              </w:rPr>
              <w:t>21</w:t>
            </w:r>
            <w:r>
              <w:rPr>
                <w:rFonts w:hint="eastAsia" w:ascii="仿宋_GB2312" w:hAnsi="宋体" w:eastAsia="仿宋_GB2312" w:cstheme="minorBidi"/>
                <w:sz w:val="21"/>
                <w:szCs w:val="21"/>
              </w:rPr>
              <w:t>年的产品历史需求量预测20</w:t>
            </w:r>
            <w:r>
              <w:rPr>
                <w:rFonts w:hint="eastAsia" w:ascii="仿宋_GB2312" w:hAnsi="宋体" w:eastAsia="仿宋_GB2312" w:cstheme="minorBidi"/>
                <w:sz w:val="21"/>
                <w:szCs w:val="21"/>
                <w:lang w:val="en-US" w:eastAsia="zh-CN"/>
              </w:rPr>
              <w:t>22</w:t>
            </w:r>
            <w:r>
              <w:rPr>
                <w:rFonts w:hint="eastAsia" w:ascii="仿宋_GB2312" w:hAnsi="宋体" w:eastAsia="仿宋_GB2312" w:cstheme="minorBidi"/>
                <w:sz w:val="21"/>
                <w:szCs w:val="21"/>
              </w:rPr>
              <w:t>年1月份的需求量）。</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（2）根据相关数据选择企业规模、位置。</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（3）根据相关数据选择采购策略。</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（4）根据相关数据选择生产方式。</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（5）根据相关数据选择库存管理方式。</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（6）根据相关数据确定商品价格。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555"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运营复盘总结</w:t>
            </w:r>
          </w:p>
        </w:tc>
        <w:tc>
          <w:tcPr>
            <w:tcW w:w="6804" w:type="dxa"/>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根据企业经营报告、净资产、投资回报率、市场占有率、准时交货率等数据要素对本企业经营的相关情况进行总结分析。</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在经营过程中遇到哪些困难，你是如何决策应对的，结果如何？</w:t>
            </w:r>
          </w:p>
        </w:tc>
      </w:tr>
    </w:tbl>
    <w:p>
      <w:pPr>
        <w:adjustRightInd w:val="0"/>
        <w:snapToGrid w:val="0"/>
        <w:spacing w:line="440" w:lineRule="exact"/>
        <w:ind w:firstLine="420" w:firstLineChars="20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表6    供应链运营与管理创新方案答辩评分标准</w:t>
      </w:r>
    </w:p>
    <w:tbl>
      <w:tblPr>
        <w:tblStyle w:val="9"/>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592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60"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评分项目</w:t>
            </w:r>
          </w:p>
        </w:tc>
        <w:tc>
          <w:tcPr>
            <w:tcW w:w="5920"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评分内容</w:t>
            </w:r>
          </w:p>
        </w:tc>
        <w:tc>
          <w:tcPr>
            <w:tcW w:w="1134" w:type="dxa"/>
            <w:shd w:val="clear" w:color="auto" w:fill="auto"/>
            <w:vAlign w:val="center"/>
          </w:tcPr>
          <w:p>
            <w:pPr>
              <w:widowControl/>
              <w:jc w:val="center"/>
              <w:rPr>
                <w:rFonts w:hint="eastAsia" w:ascii="黑体" w:hAnsi="黑体" w:eastAsia="黑体" w:cs="宋体"/>
                <w:b/>
                <w:color w:val="auto"/>
                <w:kern w:val="0"/>
                <w:sz w:val="21"/>
                <w:szCs w:val="21"/>
              </w:rPr>
            </w:pPr>
            <w:r>
              <w:rPr>
                <w:rFonts w:hint="eastAsia" w:ascii="黑体" w:hAnsi="黑体" w:eastAsia="黑体" w:cs="宋体"/>
                <w:b/>
                <w:color w:val="auto"/>
                <w:kern w:val="0"/>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46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PPT内容</w:t>
            </w:r>
          </w:p>
        </w:tc>
        <w:tc>
          <w:tcPr>
            <w:tcW w:w="5920" w:type="dxa"/>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1.PPT制作规范，能清晰准确的总结你要表述的内容，内容凝练重点突出；</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2.PPT设计精美，有创意并能有效的支撑你所表达的内容。</w:t>
            </w:r>
          </w:p>
        </w:tc>
        <w:tc>
          <w:tcPr>
            <w:tcW w:w="1134"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46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方案讲解</w:t>
            </w:r>
          </w:p>
        </w:tc>
        <w:tc>
          <w:tcPr>
            <w:tcW w:w="5920" w:type="dxa"/>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1.对方案设计的内容讲述完整，详略得当，重点突出；</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2.重点突出供应链构建以及供应链协同设计构想，并如何实现；</w:t>
            </w:r>
          </w:p>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3.总结比赛过程中运营情况，有哪些精彩的地方。</w:t>
            </w:r>
          </w:p>
        </w:tc>
        <w:tc>
          <w:tcPr>
            <w:tcW w:w="1134"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46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演讲表达</w:t>
            </w:r>
          </w:p>
        </w:tc>
        <w:tc>
          <w:tcPr>
            <w:tcW w:w="5920" w:type="dxa"/>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讲台表现大方得体，语言表达清晰准确，着装整洁，精神饱满，轻松不紧张。</w:t>
            </w:r>
          </w:p>
        </w:tc>
        <w:tc>
          <w:tcPr>
            <w:tcW w:w="1134"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60"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团队配合</w:t>
            </w:r>
          </w:p>
        </w:tc>
        <w:tc>
          <w:tcPr>
            <w:tcW w:w="5920" w:type="dxa"/>
            <w:vAlign w:val="center"/>
          </w:tcPr>
          <w:p>
            <w:pPr>
              <w:adjustRightInd w:val="0"/>
              <w:snapToGrid w:val="0"/>
              <w:spacing w:line="240" w:lineRule="atLeast"/>
              <w:jc w:val="left"/>
              <w:rPr>
                <w:rFonts w:hint="eastAsia" w:ascii="仿宋_GB2312" w:hAnsi="宋体" w:eastAsia="仿宋_GB2312" w:cstheme="minorBidi"/>
                <w:sz w:val="21"/>
                <w:szCs w:val="21"/>
              </w:rPr>
            </w:pPr>
            <w:r>
              <w:rPr>
                <w:rFonts w:hint="eastAsia" w:ascii="仿宋_GB2312" w:hAnsi="宋体" w:eastAsia="仿宋_GB2312" w:cstheme="minorBidi"/>
                <w:sz w:val="21"/>
                <w:szCs w:val="21"/>
              </w:rPr>
              <w:t>团队成员分工合作明确，讲解配合默契。</w:t>
            </w:r>
          </w:p>
        </w:tc>
        <w:tc>
          <w:tcPr>
            <w:tcW w:w="1134"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380" w:type="dxa"/>
            <w:gridSpan w:val="2"/>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总分</w:t>
            </w:r>
          </w:p>
        </w:tc>
        <w:tc>
          <w:tcPr>
            <w:tcW w:w="1134" w:type="dxa"/>
            <w:vAlign w:val="center"/>
          </w:tcPr>
          <w:p>
            <w:pPr>
              <w:adjustRightInd w:val="0"/>
              <w:snapToGrid w:val="0"/>
              <w:spacing w:line="240" w:lineRule="atLeast"/>
              <w:jc w:val="center"/>
              <w:rPr>
                <w:rFonts w:hint="eastAsia" w:ascii="仿宋_GB2312" w:hAnsi="宋体" w:eastAsia="仿宋_GB2312" w:cstheme="minorBidi"/>
                <w:sz w:val="21"/>
                <w:szCs w:val="21"/>
              </w:rPr>
            </w:pPr>
            <w:r>
              <w:rPr>
                <w:rFonts w:hint="eastAsia" w:ascii="仿宋_GB2312" w:hAnsi="宋体" w:eastAsia="仿宋_GB2312" w:cstheme="minorBidi"/>
                <w:sz w:val="21"/>
                <w:szCs w:val="21"/>
              </w:rPr>
              <w:t>100分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（4）评分方式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系统自动考核与分值权重相结合的综合评分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按比赛成绩从高到低排列参赛队的名次。</w:t>
      </w:r>
    </w:p>
    <w:p>
      <w:pPr>
        <w:adjustRightInd w:val="0"/>
        <w:snapToGrid w:val="0"/>
        <w:spacing w:line="400" w:lineRule="exact"/>
        <w:ind w:firstLine="600" w:firstLineChars="250"/>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5.成绩公布</w:t>
      </w:r>
    </w:p>
    <w:p>
      <w:pPr>
        <w:adjustRightInd w:val="0"/>
        <w:snapToGrid w:val="0"/>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记分员将复核后的最终成绩经裁判长、监督组签字后进行公布。公布时间为2小时。成绩公布无异议后，由裁判长和监督组长在成绩单上签字。 </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十、奖项设定</w:t>
      </w:r>
    </w:p>
    <w:p>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设团体一、二、三等奖，以赛项实际参赛队总数为基数，一、二、三等奖获奖比例分别为10%、20%、30%。</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 xml:space="preserve">十一、申诉与仲裁 </w:t>
      </w:r>
    </w:p>
    <w:p>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 xml:space="preserve">1.各参赛队对不符合赛项规程规定的仪器、设备、工装、材料、物件、计算机软硬件、竞赛使用工具、用品，竞赛执裁、赛场管理、竞赛成绩，以及工作人员的不规范行为等，可向赛项仲裁组提出申诉，申诉主体为参赛队领队。 </w:t>
      </w:r>
    </w:p>
    <w:p>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2.申诉启动时，参赛队向赛项仲裁组递交领队亲笔签字同意的书面报告。书面报告应对申诉事件的现象、发生时间、涉及人员、申诉依据等进行充分、实事求是的叙述。非书面申诉不予受理。</w:t>
      </w:r>
    </w:p>
    <w:p>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 xml:space="preserve">3.提出申诉的时间应在比赛结束后(选手赛场比赛内容全部完成)2 小时内。超过时效不予受理。 </w:t>
      </w:r>
    </w:p>
    <w:p>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4.赛项仲裁组在接到申诉报告后的 2 小时内组织复议，并及时将复议结果以书面形式告知申诉方。申诉方对复议结果仍有异议，可由领队向比赛监督员提出申诉，由监督员传达最终仲裁结果。</w:t>
      </w:r>
    </w:p>
    <w:p>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 xml:space="preserve">5.申诉方不得以任何理由拒绝接收仲裁结果，不得以任何理由采取过激行为扰乱赛场秩序。仲裁结果由申诉人签收，不能代收，如在约定时间和地点申诉人离开，视为自行放弃申诉。 </w:t>
      </w:r>
    </w:p>
    <w:p>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6.申诉方可随时提出放弃申诉。</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CN"/>
        </w:rPr>
      </w:pPr>
      <w:r>
        <w:rPr>
          <w:rFonts w:hint="eastAsia" w:ascii="仿宋" w:hAnsi="仿宋" w:eastAsia="仿宋" w:cs="仿宋"/>
          <w:b/>
          <w:color w:val="000000"/>
          <w:kern w:val="0"/>
          <w:sz w:val="28"/>
          <w:szCs w:val="28"/>
          <w:lang w:val="en-US" w:eastAsia="zh-CN"/>
        </w:rPr>
        <w:t>十</w:t>
      </w:r>
      <w:r>
        <w:rPr>
          <w:rFonts w:hint="eastAsia" w:ascii="仿宋" w:hAnsi="仿宋" w:eastAsia="仿宋" w:cs="仿宋"/>
          <w:b/>
          <w:color w:val="000000"/>
          <w:kern w:val="0"/>
          <w:sz w:val="28"/>
          <w:szCs w:val="28"/>
          <w:lang w:val="en-US" w:eastAsia="zh-CN"/>
        </w:rPr>
        <w:t>二、</w:t>
      </w:r>
      <w:r>
        <w:rPr>
          <w:rFonts w:hint="eastAsia" w:ascii="仿宋" w:hAnsi="仿宋" w:eastAsia="仿宋" w:cs="仿宋"/>
          <w:b/>
          <w:color w:val="000000"/>
          <w:kern w:val="0"/>
          <w:sz w:val="28"/>
          <w:szCs w:val="28"/>
          <w:lang w:val="en-US" w:eastAsia="zh-CN"/>
        </w:rPr>
        <w:t>赛项安全</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为稳慎安全有序地做好比赛，按照疫情防控工作相关要求，结合实际情况，制定本工作方案。</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1）工作目标</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切实保障现场所有工作人员健康安全做好赛事嘉宾、工作人员、参赛选手活动期间的疫情防控工作，做好突发情况的应急处置，确保赛事安全平稳实施。</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2）活动前防疫准备</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（1）赛前装备领取</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赛前领取装备时，参赛人员需提交检测日期为报道日前48小时内核酸检测结果为阴性的报告或新冠疫苗完全接种纸质证明（两针完全接种并且签署签名）并出示、14天行程轨迹检查、“健康码”绿码核验、签署参赛防疫承诺书。</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（2）工作人员及赛事相关人员安全承诺和健康监测。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赛前告知并提醒所有人员相关事宜，包括参加赛事时必须携带的证件（出示赛事证件及工作人员证）及相关资料证明（健康码查询，14天行程轨迹查询，现场测温）并签署健康承诺书，以及其他相关要求，使所有人员充分知晓理解并遵照执行。</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b.工作人员及赛事相关人员务必提前完成本人“健康码”注册申请，做好赛事前及赛事期间个人日常防护和健康监测，由主办方开展登记和留档保存。</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c.工作人员及赛事相关人员如在赛前14天内有发烧、咳嗽、咽痛、呼吸困难、呕吐、腹泻等症状，不得参与赛事。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（3）活动场地防疫要求。</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扩大场地防疫范围，防止社会闲杂人员等无关人员聚集，场地仅限现场工作人员和赛事相关人员进入，无关人员及车辆不得进入警戒范围。合理控制场地人员密度，参会人员尽量保持1米以上安全社交距离。安排专人负责实时监控人流聚集情况，原则上，人数不得超过场地饱和度人流50%，实行错时、分批等管控措施分流，引导场内人员保持合理间距和有序流动。</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b.场地入口处设置分步骤证件查验点和体温检测点，避免人员拥堵。设立相对独立的临时留观区，配备相应消毒防护用品。</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场地应按防疫要求配备口罩、一次性手套、手持式体温检测仪、速干免洗消毒剂、消毒湿巾、消毒剂、消毒器械等必要的防疫设备设施和物资物品。在赛前一天要进行全面清洁消毒；在每个入口处提供免洗手消毒剂供参会人员入场时使用。</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d.做好防疫工作培训，至少于赛前1天完成防疫常识和操作等内容的培训，开展必要的工作演练，确保工作人员掌握防疫基本技能和处置流程。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e.赛前，主办方对活动场地进行现场检查验收，对不符合疫情防控要求的跟进及时整改到位。</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（4）对接卫健委及区域公安分局。</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a.对接防疫防控工作领导小组办公室，上报防疫方案。对接公安部门做好相应备案。</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b.对接疾控中心。</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c.对接医疗部及定点医院。</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3）赛事中防疫措施实施</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（1）赛事相关人员进入活动场地要求。</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赛事当日，参赛人员须至少提前30分钟到达赛事地点，预留足够时间配合现场工作人员进行入场核验。进入场地时，参会人员须接受防疫安全检查，凭身份证确保人证合一、健康码绿码（当日更新），经体温查验＜37.3°C的可进入活动场地。</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b.赛事当日“健康码”非绿码的赛事相关人员、赛事前28天内来自或途径国内疫情中高风险地区的赛事相关人员，不得参加赛事。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c.赛事当天出现体温≥37.3°C症状的人员，不得参加赛事。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d.仍在隔离治疗期的确诊、疑似病例或无症状感染者，隔离期未满的密切接触者，来自或途径国内疫情中高风险、有国（境）外旅居史的未解除隔离者，不得参加赛事。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e.赛事相关人员自备口罩，除进入场地核验身份时须按要求摘戴口罩外，进出场地也应当全程佩戴口罩。进入场地时使用免洗手消毒剂进行手消毒。</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（2）工作人员进入场地要求。</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a.工作人员按要求提前到达场地。进入场地时，应戴口罩，主动出示“健康码”绿码（当日更新），并积极配合体温检测。活动当天体温低于37.3°C方可进入活动场地。</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b.赛事当日“健康码”非绿码的工作人员、赛前14天内出现体温≥37.3°C症状的工作人员、赛前30天内自疫情中高风险地区或国（境）外返回（或有旅行史）的工作人员，不得参加赛事。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c.仍在隔离治疗期的确诊、疑似病例或无症状感染者，隔离期未满的密切接触者，来自或途径国内疫情中高风险、有国（境）外旅居史的未解除隔离者，不得参加赛事。</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e.赛事相关人员全程佩戴口罩，随时使用免洗手消毒剂做好手卫生。</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（3）赛事中异常情况处置。</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赛事过程中，参赛人员若出现发烧、咳嗽、咽痛、呼吸困难、呕吐、腹泻等异常状况，应立即向现场工作人员报告，按照防疫相关程序处置，及时送到应急隔离点，同时联系提前选定的医院。</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（4）赛后防疫要求</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a.赛后，组织参赛人员分批、有序离开场地，不得在场地附近逗留。</w:t>
      </w:r>
    </w:p>
    <w:p>
      <w:pPr>
        <w:widowControl/>
        <w:adjustRightInd w:val="0"/>
        <w:snapToGrid w:val="0"/>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b.赛后，对场地进行全面清洁消毒。</w:t>
      </w:r>
    </w:p>
    <w:p>
      <w:pPr>
        <w:adjustRightInd w:val="0"/>
        <w:snapToGrid w:val="0"/>
        <w:spacing w:before="156" w:beforeLines="50" w:after="156" w:afterLines="50" w:line="400" w:lineRule="exact"/>
        <w:ind w:firstLine="562" w:firstLineChars="200"/>
        <w:outlineLvl w:val="0"/>
        <w:rPr>
          <w:rFonts w:hint="eastAsia" w:ascii="仿宋" w:hAnsi="仿宋" w:eastAsia="仿宋" w:cs="仿宋"/>
          <w:b/>
          <w:color w:val="000000"/>
          <w:kern w:val="0"/>
          <w:sz w:val="28"/>
          <w:szCs w:val="28"/>
          <w:lang w:val="en-US" w:eastAsia="zh-Hans"/>
        </w:rPr>
      </w:pPr>
      <w:r>
        <w:rPr>
          <w:rFonts w:hint="eastAsia" w:ascii="仿宋" w:hAnsi="仿宋" w:eastAsia="仿宋" w:cs="仿宋"/>
          <w:b/>
          <w:color w:val="000000"/>
          <w:kern w:val="0"/>
          <w:sz w:val="28"/>
          <w:szCs w:val="28"/>
          <w:lang w:val="en-US" w:eastAsia="zh-CN"/>
        </w:rPr>
        <w:t>十三、</w:t>
      </w:r>
      <w:r>
        <w:rPr>
          <w:rFonts w:hint="eastAsia" w:ascii="仿宋" w:hAnsi="仿宋" w:eastAsia="仿宋" w:cs="仿宋"/>
          <w:b/>
          <w:color w:val="000000"/>
          <w:kern w:val="0"/>
          <w:sz w:val="28"/>
          <w:szCs w:val="28"/>
          <w:lang w:val="en-US" w:eastAsia="zh-Hans"/>
        </w:rPr>
        <w:t>其他规定</w:t>
      </w:r>
    </w:p>
    <w:p>
      <w:pPr>
        <w:adjustRightInd w:val="0"/>
        <w:snapToGrid w:val="0"/>
        <w:spacing w:line="400" w:lineRule="exact"/>
        <w:ind w:firstLine="361" w:firstLineChars="150"/>
        <w:rPr>
          <w:rFonts w:hint="eastAsia" w:ascii="仿宋" w:hAnsi="仿宋" w:eastAsia="仿宋" w:cs="仿宋"/>
          <w:b/>
          <w:color w:val="000000"/>
          <w:sz w:val="24"/>
          <w:szCs w:val="24"/>
        </w:rPr>
      </w:pPr>
      <w:r>
        <w:rPr>
          <w:rFonts w:hint="eastAsia" w:ascii="仿宋" w:hAnsi="仿宋" w:eastAsia="仿宋" w:cs="仿宋"/>
          <w:b/>
          <w:color w:val="000000"/>
          <w:sz w:val="24"/>
          <w:szCs w:val="24"/>
        </w:rPr>
        <w:t>（一）参赛队须知</w:t>
      </w:r>
      <w:bookmarkStart w:id="7" w:name="_GoBack"/>
      <w:bookmarkEnd w:id="7"/>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1、报名时参赛队名称为学校代表队名称，如果学校有2支参赛队，则分别为一队与二队，不接受跨校组队报名。</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2、参赛队员在报名获得审核确认后，中途不能更换参赛队员，允许队员缺席比赛。</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3、参赛队按照大赛赛程安排，凭有效证件，按时参加检录和竞赛，如不能按时参赛以自动弃权处理。凭大赛组委会颁发的参赛证和有效身份证件参加比赛及相关活动。</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4、参赛队员统一着装，须符合安全生产及竞赛要求。</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5、参赛队员应自觉遵守赛场纪律，服从裁判、听从指挥、文明竞赛；持证进入赛场，禁止将通讯工具、自编电子或文字资料带入赛场。</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6、参赛队在进入现场之前需完成分工。</w:t>
      </w:r>
    </w:p>
    <w:p>
      <w:pPr>
        <w:adjustRightInd w:val="0"/>
        <w:snapToGrid w:val="0"/>
        <w:spacing w:line="400" w:lineRule="exact"/>
        <w:ind w:firstLine="480" w:firstLineChars="200"/>
        <w:rPr>
          <w:rFonts w:hint="eastAsia" w:ascii="仿宋" w:hAnsi="仿宋" w:eastAsia="仿宋" w:cs="仿宋"/>
          <w:sz w:val="24"/>
          <w:szCs w:val="24"/>
          <w:lang w:val="en-US" w:eastAsia="zh-Hans"/>
        </w:rPr>
      </w:pPr>
      <w:r>
        <w:rPr>
          <w:rFonts w:hint="eastAsia" w:ascii="仿宋" w:hAnsi="仿宋" w:eastAsia="仿宋" w:cs="仿宋"/>
          <w:sz w:val="24"/>
          <w:szCs w:val="24"/>
        </w:rPr>
        <w:t>7、</w:t>
      </w:r>
      <w:r>
        <w:rPr>
          <w:rFonts w:hint="eastAsia" w:ascii="仿宋" w:hAnsi="仿宋" w:eastAsia="仿宋" w:cs="仿宋"/>
          <w:sz w:val="24"/>
          <w:szCs w:val="24"/>
          <w:lang w:val="en-US" w:eastAsia="zh-Hans"/>
        </w:rPr>
        <w:t>报到时需出示身份证</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保险单和电子健康通行绿码</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学生还需出示学生证</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或学校出具的有效证明</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各参赛学校须为每个参赛选手办理意外伤害保险</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未办理保险者不得参赛</w:t>
      </w:r>
      <w:r>
        <w:rPr>
          <w:rFonts w:hint="eastAsia" w:ascii="仿宋" w:hAnsi="仿宋" w:eastAsia="仿宋" w:cs="仿宋"/>
          <w:sz w:val="24"/>
          <w:szCs w:val="24"/>
          <w:lang w:eastAsia="zh-Hans"/>
        </w:rPr>
        <w:t>。</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8、在比赛过程中，各参赛选手限定在自己的工作区域和岗位完成比赛任务。比赛过程中，选手休息、饮水或去卫生间等所用时间，一律计算在操作时间内。 </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9、参赛队欲提前结束比赛，应向裁判员举手示意，比赛终止时间由裁判员记录，参赛队结束比赛后不得再进行任何操作。</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10、参赛选手不得在赛场内外吸烟，不听劝阻者给予通报批评或清退比赛现场，造成严重后果的将依法处理。</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参赛选手参加实际操作竞赛前，应由参赛校进行安全教育。如发现问题应及时解决，无法解决的问题应及时向裁判员报告，裁判员视情况予以判定，并协调处理。对选手未发现的安全隐患或违章操作行为，裁判员应及时指出并予以纠正。</w:t>
      </w:r>
    </w:p>
    <w:p>
      <w:pPr>
        <w:adjustRightInd w:val="0"/>
        <w:snapToGrid w:val="0"/>
        <w:spacing w:line="400" w:lineRule="exact"/>
        <w:ind w:firstLine="361" w:firstLineChars="150"/>
        <w:rPr>
          <w:rFonts w:hint="eastAsia" w:ascii="仿宋" w:hAnsi="仿宋" w:eastAsia="仿宋" w:cs="仿宋"/>
          <w:b/>
          <w:color w:val="000000"/>
          <w:sz w:val="24"/>
          <w:szCs w:val="24"/>
        </w:rPr>
      </w:pPr>
      <w:r>
        <w:rPr>
          <w:rFonts w:hint="eastAsia" w:ascii="仿宋" w:hAnsi="仿宋" w:eastAsia="仿宋" w:cs="仿宋"/>
          <w:b/>
          <w:color w:val="000000"/>
          <w:sz w:val="24"/>
          <w:szCs w:val="24"/>
        </w:rPr>
        <w:t>（二）领队与指导教师须知</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1、指导教师经报名、审核后确定，一经确定不得更换。允许指导教师缺席比赛。</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2、指导教师在被允许进入比赛现场观摩时，应遵守赛场管理须知和赛场纪律。</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3、领队须准时参加赛前领队会议，并认真传达落实会议精神，确保准确及时召集本队人员按时到达赛场。</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4、熟悉竞赛规程和赛项须知，领队负责做好本参赛队比赛期间的管理与组织工作。</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5、各参赛队领队、指导教师在比赛期间需保持通信畅通。</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6、贯彻执行大赛各项规定，各参赛队领队、指导教师在比赛前和比赛期间不允许私自接触裁判、与裁判谈论与比赛有关的内容，不得以任何形式影响裁判人员的评判。</w:t>
      </w:r>
    </w:p>
    <w:p>
      <w:pPr>
        <w:adjustRightInd w:val="0"/>
        <w:snapToGrid w:val="0"/>
        <w:spacing w:line="400" w:lineRule="exact"/>
        <w:ind w:firstLine="361" w:firstLineChars="150"/>
        <w:rPr>
          <w:rFonts w:hint="eastAsia" w:ascii="仿宋" w:hAnsi="仿宋" w:eastAsia="仿宋" w:cs="仿宋"/>
          <w:b/>
          <w:color w:val="000000"/>
          <w:sz w:val="24"/>
          <w:szCs w:val="24"/>
        </w:rPr>
      </w:pPr>
      <w:r>
        <w:rPr>
          <w:rFonts w:hint="eastAsia" w:ascii="仿宋" w:hAnsi="仿宋" w:eastAsia="仿宋" w:cs="仿宋"/>
          <w:b/>
          <w:color w:val="000000"/>
          <w:sz w:val="24"/>
          <w:szCs w:val="24"/>
        </w:rPr>
        <w:t>（三）参赛选手须知</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1、严格遵守技能竞赛规则、技能竞赛纪律和安全操作规程，尊重裁判和赛场工作人员，自觉维护赛场秩序。</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2、佩带参赛证件，着工装进入比赛场地，并接受裁判的检查。</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3、进入赛场前须将手机等通讯工具交赛场相关人员妥善保管。选手不得携带任何纸质资料、通讯工具、电子书、存储设备、照相及录像设备等进赛场，若一经发现取消参赛资格。</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选手在收到开赛信号前不得开始或启动操作，竞赛过程中不准擅自离开赛场。竞赛结束时间到达，应立即停止编制计划和操作，不得拖延竞赛时间。竞赛完成后必须按裁判要求迅速离开赛场，不得在赛场内滞留。</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5、严禁作弊行为。</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6、爱护竞赛场所的设备、仪器等，不得人为损坏竞赛用仪器设备。</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7、比赛过程中，参赛选手须严格遵守操作过程和相关准则，保证设备及人身安全，并接受裁判员的监督和警示；若因设备故障导致选手中断或终止比赛，由大赛裁判长视具体情况做出裁决。</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8、在比赛过程中，参赛选手由于操作失误导致设备不能正常工作，或造成安全事故不能进行比赛的，将被终止比赛。</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9、尊重其他参赛队选手，体现“准物流人”的职业道德和修养。</w:t>
      </w:r>
    </w:p>
    <w:p>
      <w:pPr>
        <w:adjustRightInd w:val="0"/>
        <w:snapToGrid w:val="0"/>
        <w:spacing w:line="400" w:lineRule="exact"/>
        <w:ind w:firstLine="361" w:firstLineChars="150"/>
        <w:rPr>
          <w:rFonts w:hint="eastAsia" w:ascii="仿宋" w:hAnsi="仿宋" w:eastAsia="仿宋" w:cs="仿宋"/>
          <w:b/>
          <w:color w:val="000000"/>
          <w:sz w:val="24"/>
          <w:szCs w:val="24"/>
        </w:rPr>
      </w:pPr>
      <w:r>
        <w:rPr>
          <w:rFonts w:hint="eastAsia" w:ascii="仿宋" w:hAnsi="仿宋" w:eastAsia="仿宋" w:cs="仿宋"/>
          <w:b/>
          <w:color w:val="000000"/>
          <w:sz w:val="24"/>
          <w:szCs w:val="24"/>
        </w:rPr>
        <w:t>（四）工作人员须知</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1、工作人员必须服从统一领导，严格遵守竞赛纪律及时间安排，严守工作岗位，不得无故离岗。</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2、工作人员必须着装整齐，统一佩戴由大赛组委会签发的相应证件，精神饱满、热情服务。</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3、熟悉赛项指南，严格按照工作程序和有关规定办事，遇突发事件，按照安全工作预案，组织指挥人员疏散，确保人员安全。 </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4、工作人员未经允许不得随意进入比赛现场。</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5、选手提问，经允许后，可以提问不清楚的问题，裁判人员须正面回答。</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6、赛场内保持安静，不准吸烟。</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7、各赛场除裁判、赛场配备的工作人员以外，其他人员在竞赛时未经允许不得进入赛场。</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8、新闻媒体等进入赛场必须经过大赛组委会允许，并且听从现场工作人员的安排和管理，不能影响竞赛进行。</w:t>
      </w:r>
    </w:p>
    <w:p>
      <w:pPr>
        <w:adjustRightInd w:val="0"/>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9、负责各自赛区的裁判员和工作人员不得随意进入其它赛区。</w:t>
      </w:r>
    </w:p>
    <w:p>
      <w:pPr>
        <w:adjustRightInd w:val="0"/>
        <w:snapToGrid w:val="0"/>
        <w:spacing w:line="440" w:lineRule="exact"/>
        <w:ind w:firstLine="560" w:firstLineChars="200"/>
        <w:rPr>
          <w:rFonts w:hint="eastAsia" w:ascii="仿宋" w:hAnsi="仿宋" w:eastAsia="仿宋" w:cs="Arial"/>
          <w:color w:val="000000"/>
          <w:kern w:val="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2978"/>
      <w:docPartObj>
        <w:docPartGallery w:val="autotext"/>
      </w:docPartObj>
    </w:sdtPr>
    <w:sdtContent>
      <w:p>
        <w:pPr>
          <w:pStyle w:val="5"/>
          <w:jc w:val="center"/>
        </w:pPr>
        <w:r>
          <w:fldChar w:fldCharType="begin"/>
        </w:r>
        <w:r>
          <w:instrText xml:space="preserve">PAGE   \* MERGEFORMAT</w:instrText>
        </w:r>
        <w:r>
          <w:fldChar w:fldCharType="separate"/>
        </w:r>
        <w:r>
          <w:rPr>
            <w:lang w:val="zh-CN"/>
          </w:rPr>
          <w:t>23</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6FE"/>
    <w:rsid w:val="00027F2B"/>
    <w:rsid w:val="00034B00"/>
    <w:rsid w:val="00073066"/>
    <w:rsid w:val="00082F7F"/>
    <w:rsid w:val="0009067F"/>
    <w:rsid w:val="000A7B1F"/>
    <w:rsid w:val="000F0EDF"/>
    <w:rsid w:val="000F4FC4"/>
    <w:rsid w:val="00101368"/>
    <w:rsid w:val="00114929"/>
    <w:rsid w:val="00117AF4"/>
    <w:rsid w:val="00126D36"/>
    <w:rsid w:val="00135ED5"/>
    <w:rsid w:val="00143E68"/>
    <w:rsid w:val="0016461E"/>
    <w:rsid w:val="00172070"/>
    <w:rsid w:val="00177565"/>
    <w:rsid w:val="001A3460"/>
    <w:rsid w:val="001B4C6D"/>
    <w:rsid w:val="001B6B1D"/>
    <w:rsid w:val="001E02AB"/>
    <w:rsid w:val="001F33CE"/>
    <w:rsid w:val="00202630"/>
    <w:rsid w:val="00220FCC"/>
    <w:rsid w:val="00232148"/>
    <w:rsid w:val="00243E77"/>
    <w:rsid w:val="00267614"/>
    <w:rsid w:val="002744E5"/>
    <w:rsid w:val="002A7D5E"/>
    <w:rsid w:val="002B5522"/>
    <w:rsid w:val="002B6767"/>
    <w:rsid w:val="002D273E"/>
    <w:rsid w:val="002D3BB3"/>
    <w:rsid w:val="003056A4"/>
    <w:rsid w:val="00313FFC"/>
    <w:rsid w:val="00327AA9"/>
    <w:rsid w:val="00360799"/>
    <w:rsid w:val="003737C4"/>
    <w:rsid w:val="003763A2"/>
    <w:rsid w:val="003A2E1E"/>
    <w:rsid w:val="003A2E30"/>
    <w:rsid w:val="003B3C18"/>
    <w:rsid w:val="003B6412"/>
    <w:rsid w:val="003C3450"/>
    <w:rsid w:val="003E1238"/>
    <w:rsid w:val="003E134D"/>
    <w:rsid w:val="00403C5C"/>
    <w:rsid w:val="0040666B"/>
    <w:rsid w:val="00422534"/>
    <w:rsid w:val="004257C4"/>
    <w:rsid w:val="0043208B"/>
    <w:rsid w:val="00445684"/>
    <w:rsid w:val="004458AE"/>
    <w:rsid w:val="00455B5E"/>
    <w:rsid w:val="00471830"/>
    <w:rsid w:val="00491394"/>
    <w:rsid w:val="00497EB1"/>
    <w:rsid w:val="004E5286"/>
    <w:rsid w:val="004F06FE"/>
    <w:rsid w:val="0052449E"/>
    <w:rsid w:val="00531493"/>
    <w:rsid w:val="0055312B"/>
    <w:rsid w:val="00563A5C"/>
    <w:rsid w:val="005B1A82"/>
    <w:rsid w:val="005E08DB"/>
    <w:rsid w:val="005F04D4"/>
    <w:rsid w:val="00603016"/>
    <w:rsid w:val="006049F1"/>
    <w:rsid w:val="00613409"/>
    <w:rsid w:val="00617E81"/>
    <w:rsid w:val="00635BA7"/>
    <w:rsid w:val="006538ED"/>
    <w:rsid w:val="00663C58"/>
    <w:rsid w:val="00670406"/>
    <w:rsid w:val="00696C3C"/>
    <w:rsid w:val="006A50F9"/>
    <w:rsid w:val="006C0CB3"/>
    <w:rsid w:val="006D04FC"/>
    <w:rsid w:val="006D6929"/>
    <w:rsid w:val="006D7C27"/>
    <w:rsid w:val="006E5F73"/>
    <w:rsid w:val="006F3670"/>
    <w:rsid w:val="006F4B43"/>
    <w:rsid w:val="00742CCB"/>
    <w:rsid w:val="00755BB1"/>
    <w:rsid w:val="00757B6B"/>
    <w:rsid w:val="007633BC"/>
    <w:rsid w:val="0077363F"/>
    <w:rsid w:val="00775031"/>
    <w:rsid w:val="00775ACF"/>
    <w:rsid w:val="007844B6"/>
    <w:rsid w:val="007D17F7"/>
    <w:rsid w:val="00800660"/>
    <w:rsid w:val="00810B4B"/>
    <w:rsid w:val="00814ED0"/>
    <w:rsid w:val="008324E3"/>
    <w:rsid w:val="0085740F"/>
    <w:rsid w:val="00887A2E"/>
    <w:rsid w:val="008A2912"/>
    <w:rsid w:val="008B3092"/>
    <w:rsid w:val="008B3F40"/>
    <w:rsid w:val="008F0141"/>
    <w:rsid w:val="008F27D4"/>
    <w:rsid w:val="00921654"/>
    <w:rsid w:val="0095363C"/>
    <w:rsid w:val="00957F59"/>
    <w:rsid w:val="00973757"/>
    <w:rsid w:val="00984011"/>
    <w:rsid w:val="0098548E"/>
    <w:rsid w:val="009A27E1"/>
    <w:rsid w:val="009E43CA"/>
    <w:rsid w:val="009F399E"/>
    <w:rsid w:val="00A14FA5"/>
    <w:rsid w:val="00A57492"/>
    <w:rsid w:val="00A91F96"/>
    <w:rsid w:val="00A972F3"/>
    <w:rsid w:val="00AA3961"/>
    <w:rsid w:val="00AD61CE"/>
    <w:rsid w:val="00AD6DAE"/>
    <w:rsid w:val="00AE3807"/>
    <w:rsid w:val="00B04659"/>
    <w:rsid w:val="00B221AB"/>
    <w:rsid w:val="00B36033"/>
    <w:rsid w:val="00B63D80"/>
    <w:rsid w:val="00B71A82"/>
    <w:rsid w:val="00B7570A"/>
    <w:rsid w:val="00B915BB"/>
    <w:rsid w:val="00B959A6"/>
    <w:rsid w:val="00BB1E24"/>
    <w:rsid w:val="00BD310E"/>
    <w:rsid w:val="00BE0D51"/>
    <w:rsid w:val="00BE5F7E"/>
    <w:rsid w:val="00BF498E"/>
    <w:rsid w:val="00C25C80"/>
    <w:rsid w:val="00C37CBB"/>
    <w:rsid w:val="00C4253B"/>
    <w:rsid w:val="00C7492F"/>
    <w:rsid w:val="00C77DBB"/>
    <w:rsid w:val="00C845CD"/>
    <w:rsid w:val="00CB4B8B"/>
    <w:rsid w:val="00CC1AA5"/>
    <w:rsid w:val="00CC2F9A"/>
    <w:rsid w:val="00CC34D0"/>
    <w:rsid w:val="00D07448"/>
    <w:rsid w:val="00D159CE"/>
    <w:rsid w:val="00D20DF2"/>
    <w:rsid w:val="00D21E13"/>
    <w:rsid w:val="00D22912"/>
    <w:rsid w:val="00D22A59"/>
    <w:rsid w:val="00D30392"/>
    <w:rsid w:val="00D4590E"/>
    <w:rsid w:val="00D61A64"/>
    <w:rsid w:val="00D65340"/>
    <w:rsid w:val="00D65436"/>
    <w:rsid w:val="00D75A28"/>
    <w:rsid w:val="00D811C0"/>
    <w:rsid w:val="00DD1D83"/>
    <w:rsid w:val="00DF1DAF"/>
    <w:rsid w:val="00E2116B"/>
    <w:rsid w:val="00E24C1F"/>
    <w:rsid w:val="00E31569"/>
    <w:rsid w:val="00E35032"/>
    <w:rsid w:val="00E35579"/>
    <w:rsid w:val="00E43EEE"/>
    <w:rsid w:val="00E50127"/>
    <w:rsid w:val="00E57CB3"/>
    <w:rsid w:val="00E70D51"/>
    <w:rsid w:val="00E92BDB"/>
    <w:rsid w:val="00EA7349"/>
    <w:rsid w:val="00EC1E56"/>
    <w:rsid w:val="00F111EF"/>
    <w:rsid w:val="00F14FE6"/>
    <w:rsid w:val="00F40ED9"/>
    <w:rsid w:val="00F41B70"/>
    <w:rsid w:val="00F43460"/>
    <w:rsid w:val="00F51D32"/>
    <w:rsid w:val="00F641FA"/>
    <w:rsid w:val="00F82E04"/>
    <w:rsid w:val="00F93E08"/>
    <w:rsid w:val="00FA33B2"/>
    <w:rsid w:val="00FF06C8"/>
    <w:rsid w:val="07DB4882"/>
    <w:rsid w:val="0E250E55"/>
    <w:rsid w:val="15104D7F"/>
    <w:rsid w:val="15737077"/>
    <w:rsid w:val="164255D3"/>
    <w:rsid w:val="172A747D"/>
    <w:rsid w:val="181E684C"/>
    <w:rsid w:val="19740B7E"/>
    <w:rsid w:val="1D8F2991"/>
    <w:rsid w:val="32633C7F"/>
    <w:rsid w:val="34B24261"/>
    <w:rsid w:val="35423FD8"/>
    <w:rsid w:val="37235928"/>
    <w:rsid w:val="38025C7A"/>
    <w:rsid w:val="38D73095"/>
    <w:rsid w:val="3E827B6A"/>
    <w:rsid w:val="453970F3"/>
    <w:rsid w:val="476963DE"/>
    <w:rsid w:val="49C91DDB"/>
    <w:rsid w:val="4C5B058F"/>
    <w:rsid w:val="4D0D2F92"/>
    <w:rsid w:val="4FCB67DF"/>
    <w:rsid w:val="53456A9C"/>
    <w:rsid w:val="55CE686B"/>
    <w:rsid w:val="593C66C9"/>
    <w:rsid w:val="5FDF509A"/>
    <w:rsid w:val="64D02E1A"/>
    <w:rsid w:val="656942F9"/>
    <w:rsid w:val="65D43FF6"/>
    <w:rsid w:val="66CD3CC6"/>
    <w:rsid w:val="67770426"/>
    <w:rsid w:val="6A2C1D99"/>
    <w:rsid w:val="6F4F7F03"/>
    <w:rsid w:val="719E3550"/>
    <w:rsid w:val="71BD0617"/>
    <w:rsid w:val="72C560FA"/>
    <w:rsid w:val="7C152611"/>
    <w:rsid w:val="7E065489"/>
    <w:rsid w:val="7EE05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28"/>
      <w:szCs w:val="44"/>
    </w:rPr>
  </w:style>
  <w:style w:type="paragraph" w:styleId="3">
    <w:name w:val="heading 2"/>
    <w:basedOn w:val="1"/>
    <w:next w:val="1"/>
    <w:link w:val="17"/>
    <w:unhideWhenUsed/>
    <w:qFormat/>
    <w:uiPriority w:val="9"/>
    <w:pPr>
      <w:keepNext/>
      <w:keepLines/>
      <w:widowControl/>
      <w:spacing w:before="260" w:after="260" w:line="416" w:lineRule="auto"/>
      <w:jc w:val="left"/>
      <w:outlineLvl w:val="1"/>
    </w:pPr>
    <w:rPr>
      <w:rFonts w:asciiTheme="majorHAnsi" w:hAnsiTheme="majorHAnsi" w:cstheme="majorBidi"/>
      <w:b/>
      <w:bCs/>
      <w:sz w:val="24"/>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9"/>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rFonts w:cs="Times New Roman" w:eastAsiaTheme="minorEastAsia"/>
      <w:kern w:val="0"/>
      <w:sz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semiHidden/>
    <w:qFormat/>
    <w:uiPriority w:val="99"/>
    <w:rPr>
      <w:rFonts w:cs="Times New Roman"/>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6"/>
    <w:qFormat/>
    <w:uiPriority w:val="99"/>
    <w:rPr>
      <w:sz w:val="18"/>
      <w:szCs w:val="18"/>
    </w:rPr>
  </w:style>
  <w:style w:type="character" w:customStyle="1" w:styleId="14">
    <w:name w:val="页脚 Char"/>
    <w:basedOn w:val="10"/>
    <w:link w:val="5"/>
    <w:qFormat/>
    <w:uiPriority w:val="99"/>
    <w:rPr>
      <w:sz w:val="18"/>
      <w:szCs w:val="18"/>
    </w:rPr>
  </w:style>
  <w:style w:type="character" w:customStyle="1" w:styleId="15">
    <w:name w:val="标题 1 Char"/>
    <w:basedOn w:val="10"/>
    <w:link w:val="2"/>
    <w:qFormat/>
    <w:uiPriority w:val="9"/>
    <w:rPr>
      <w:rFonts w:eastAsia="微软雅黑"/>
      <w:b/>
      <w:bCs/>
      <w:kern w:val="44"/>
      <w:sz w:val="28"/>
      <w:szCs w:val="44"/>
    </w:rPr>
  </w:style>
  <w:style w:type="table" w:customStyle="1" w:styleId="16">
    <w:name w:val="网格型1"/>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标题 2 Char"/>
    <w:basedOn w:val="10"/>
    <w:link w:val="3"/>
    <w:qFormat/>
    <w:uiPriority w:val="9"/>
    <w:rPr>
      <w:rFonts w:eastAsia="微软雅黑" w:asciiTheme="majorHAnsi" w:hAnsiTheme="majorHAnsi" w:cstheme="majorBidi"/>
      <w:b/>
      <w:bCs/>
      <w:sz w:val="24"/>
      <w:szCs w:val="32"/>
    </w:rPr>
  </w:style>
  <w:style w:type="paragraph" w:styleId="18">
    <w:name w:val="List Paragraph"/>
    <w:basedOn w:val="1"/>
    <w:qFormat/>
    <w:uiPriority w:val="34"/>
    <w:pPr>
      <w:ind w:firstLine="420" w:firstLineChars="200"/>
    </w:pPr>
  </w:style>
  <w:style w:type="character" w:customStyle="1" w:styleId="19">
    <w:name w:val="批注框文本 Char"/>
    <w:basedOn w:val="10"/>
    <w:link w:val="4"/>
    <w:semiHidden/>
    <w:qFormat/>
    <w:uiPriority w:val="99"/>
    <w:rPr>
      <w:rFonts w:eastAsia="微软雅黑"/>
      <w:sz w:val="18"/>
      <w:szCs w:val="18"/>
    </w:rPr>
  </w:style>
  <w:style w:type="character" w:customStyle="1" w:styleId="20">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76E8ED-1C3A-4828-AA47-0A9CA83BDA77}">
  <ds:schemaRefs/>
</ds:datastoreItem>
</file>

<file path=docProps/app.xml><?xml version="1.0" encoding="utf-8"?>
<Properties xmlns="http://schemas.openxmlformats.org/officeDocument/2006/extended-properties" xmlns:vt="http://schemas.openxmlformats.org/officeDocument/2006/docPropsVTypes">
  <Template>Normal.dotm</Template>
  <Company>baidee</Company>
  <Pages>18</Pages>
  <Words>9996</Words>
  <Characters>10575</Characters>
  <Lines>69</Lines>
  <Paragraphs>19</Paragraphs>
  <TotalTime>7</TotalTime>
  <ScaleCrop>false</ScaleCrop>
  <LinksUpToDate>false</LinksUpToDate>
  <CharactersWithSpaces>10631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2019-03-11T08:17:00Z</dcterms:created>
  <dc:creator>baidee</dc:creator>
  <cp:lastModifiedBy>张小艳</cp:lastModifiedBy>
  <dcterms:modified xsi:type="dcterms:W3CDTF">2022-03-04T04:15:57Z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36000AC9676E427E832E95E09C61501D</vt:lpwstr>
  </property>
</Properties>
</file>