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hAnsi="黑体" w:eastAsia="方正小标宋简体" w:cs="黑体"/>
          <w:b/>
          <w:bCs/>
          <w:color w:val="000000"/>
          <w:sz w:val="44"/>
          <w:szCs w:val="44"/>
        </w:rPr>
      </w:pPr>
      <w:r>
        <w:rPr>
          <w:rFonts w:hint="default" w:ascii="方正小标宋简体" w:hAnsi="黑体" w:eastAsia="方正小标宋简体" w:cs="黑体"/>
          <w:b/>
          <w:bCs/>
          <w:color w:val="000000"/>
          <w:sz w:val="44"/>
          <w:szCs w:val="44"/>
          <w:lang w:eastAsia="zh-Hans"/>
        </w:rPr>
        <w:t>2022</w:t>
      </w:r>
      <w:r>
        <w:rPr>
          <w:rFonts w:hint="eastAsia" w:ascii="方正小标宋简体" w:hAnsi="黑体" w:eastAsia="方正小标宋简体" w:cs="黑体"/>
          <w:b/>
          <w:bCs/>
          <w:color w:val="000000"/>
          <w:sz w:val="44"/>
          <w:szCs w:val="44"/>
          <w:lang w:val="en-US" w:eastAsia="zh-Hans"/>
        </w:rPr>
        <w:t>年</w:t>
      </w:r>
      <w:r>
        <w:rPr>
          <w:rFonts w:hint="eastAsia" w:ascii="方正小标宋简体" w:hAnsi="黑体" w:eastAsia="方正小标宋简体" w:cs="黑体"/>
          <w:b/>
          <w:bCs/>
          <w:color w:val="000000"/>
          <w:sz w:val="44"/>
          <w:szCs w:val="44"/>
          <w:lang w:val="en-US" w:eastAsia="zh-CN"/>
        </w:rPr>
        <w:t>全</w:t>
      </w:r>
      <w:r>
        <w:rPr>
          <w:rFonts w:hint="eastAsia" w:ascii="方正小标宋简体" w:hAnsi="黑体" w:eastAsia="方正小标宋简体" w:cs="黑体"/>
          <w:b/>
          <w:bCs/>
          <w:color w:val="000000"/>
          <w:sz w:val="44"/>
          <w:szCs w:val="44"/>
        </w:rPr>
        <w:t>省职业院校技能大赛</w:t>
      </w:r>
    </w:p>
    <w:p>
      <w:pPr>
        <w:snapToGrid w:val="0"/>
        <w:jc w:val="center"/>
        <w:outlineLvl w:val="0"/>
        <w:rPr>
          <w:rFonts w:hint="eastAsia" w:ascii="方正小标宋简体" w:hAnsi="黑体" w:eastAsia="方正小标宋简体" w:cs="黑体"/>
          <w:b/>
          <w:bCs/>
          <w:color w:val="000000"/>
          <w:sz w:val="44"/>
          <w:szCs w:val="44"/>
          <w:lang w:eastAsia="zh-CN"/>
        </w:rPr>
      </w:pPr>
      <w:r>
        <w:rPr>
          <w:rFonts w:hint="eastAsia" w:ascii="方正小标宋简体" w:hAnsi="黑体" w:eastAsia="方正小标宋简体" w:cs="黑体"/>
          <w:b/>
          <w:bCs/>
          <w:color w:val="000000"/>
          <w:sz w:val="44"/>
          <w:szCs w:val="44"/>
          <w:lang w:val="en-US" w:eastAsia="zh-CN"/>
        </w:rPr>
        <w:t>高职学生组</w:t>
      </w:r>
      <w:r>
        <w:rPr>
          <w:rFonts w:hint="eastAsia" w:ascii="方正小标宋简体" w:hAnsi="黑体" w:eastAsia="方正小标宋简体" w:cs="黑体"/>
          <w:b/>
          <w:bCs/>
          <w:color w:val="000000"/>
          <w:sz w:val="44"/>
          <w:szCs w:val="44"/>
          <w:lang w:eastAsia="zh-CN"/>
        </w:rPr>
        <w:t>网络系统管理赛</w:t>
      </w:r>
      <w:r>
        <w:rPr>
          <w:rFonts w:hint="eastAsia" w:ascii="方正小标宋简体" w:hAnsi="黑体" w:eastAsia="方正小标宋简体" w:cs="黑体"/>
          <w:b/>
          <w:bCs/>
          <w:color w:val="000000"/>
          <w:sz w:val="44"/>
          <w:szCs w:val="44"/>
          <w:lang w:val="en-US" w:eastAsia="zh-CN"/>
        </w:rPr>
        <w:t>项竞赛</w:t>
      </w:r>
      <w:r>
        <w:rPr>
          <w:rFonts w:hint="eastAsia" w:ascii="方正小标宋简体" w:hAnsi="黑体" w:eastAsia="方正小标宋简体" w:cs="黑体"/>
          <w:b/>
          <w:bCs/>
          <w:color w:val="000000"/>
          <w:sz w:val="44"/>
          <w:szCs w:val="44"/>
          <w:lang w:eastAsia="zh-CN"/>
        </w:rPr>
        <w:t>规程</w:t>
      </w:r>
    </w:p>
    <w:p>
      <w:pPr>
        <w:adjustRightInd w:val="0"/>
        <w:snapToGrid w:val="0"/>
        <w:spacing w:before="240"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w:t>
      </w:r>
      <w:r>
        <w:rPr>
          <w:rFonts w:hint="eastAsia" w:ascii="仿宋" w:hAnsi="Calibri" w:eastAsia="仿宋" w:cs="Arial"/>
          <w:b/>
          <w:bCs/>
          <w:sz w:val="28"/>
          <w:lang w:eastAsia="zh-CN"/>
        </w:rPr>
        <w:t>、</w:t>
      </w:r>
      <w:r>
        <w:rPr>
          <w:rFonts w:hint="eastAsia" w:ascii="仿宋" w:hAnsi="Calibri" w:eastAsia="仿宋" w:cs="Arial"/>
          <w:b/>
          <w:bCs/>
          <w:sz w:val="28"/>
        </w:rPr>
        <w:t>赛项名称</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赛项名称：网络系统管理</w:t>
      </w:r>
    </w:p>
    <w:p>
      <w:pPr>
        <w:adjustRightInd w:val="0"/>
        <w:snapToGrid w:val="0"/>
        <w:spacing w:line="360" w:lineRule="auto"/>
        <w:ind w:firstLine="560" w:firstLineChars="200"/>
        <w:rPr>
          <w:rFonts w:hint="eastAsia" w:ascii="仿宋" w:hAnsi="Calibri" w:eastAsia="仿宋" w:cs="Arial"/>
          <w:sz w:val="28"/>
          <w:lang w:val="en-US" w:eastAsia="zh-CN"/>
        </w:rPr>
      </w:pPr>
      <w:r>
        <w:rPr>
          <w:rFonts w:hint="eastAsia" w:ascii="仿宋" w:hAnsi="Calibri" w:eastAsia="仿宋" w:cs="Arial"/>
          <w:sz w:val="28"/>
        </w:rPr>
        <w:t>赛项组别：高职学生</w:t>
      </w:r>
      <w:r>
        <w:rPr>
          <w:rFonts w:hint="eastAsia" w:ascii="仿宋" w:hAnsi="Calibri" w:eastAsia="仿宋" w:cs="Arial"/>
          <w:sz w:val="28"/>
          <w:lang w:val="en-US" w:eastAsia="zh-CN"/>
        </w:rPr>
        <w:t>组</w:t>
      </w:r>
    </w:p>
    <w:p>
      <w:pPr>
        <w:adjustRightInd w:val="0"/>
        <w:snapToGrid w:val="0"/>
        <w:spacing w:line="360" w:lineRule="auto"/>
        <w:ind w:firstLine="560" w:firstLineChars="200"/>
        <w:rPr>
          <w:rFonts w:hint="default" w:ascii="仿宋" w:hAnsi="Calibri" w:eastAsia="仿宋" w:cs="Arial"/>
          <w:sz w:val="28"/>
          <w:lang w:val="en-US" w:eastAsia="zh-CN"/>
        </w:rPr>
      </w:pPr>
      <w:r>
        <w:rPr>
          <w:rFonts w:hint="eastAsia" w:ascii="仿宋" w:hAnsi="Calibri" w:eastAsia="仿宋" w:cs="Arial"/>
          <w:sz w:val="28"/>
        </w:rPr>
        <w:t>赛项归属：</w:t>
      </w:r>
      <w:r>
        <w:rPr>
          <w:rFonts w:hint="eastAsia" w:ascii="仿宋" w:hAnsi="Calibri" w:eastAsia="仿宋" w:cs="Arial"/>
          <w:sz w:val="28"/>
          <w:lang w:val="en-US" w:eastAsia="zh-CN"/>
        </w:rPr>
        <w:t>电子与信息</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w:t>
      </w:r>
      <w:r>
        <w:rPr>
          <w:rFonts w:hint="eastAsia" w:ascii="仿宋" w:hAnsi="Calibri" w:eastAsia="仿宋" w:cs="Arial"/>
          <w:b/>
          <w:bCs/>
          <w:sz w:val="28"/>
          <w:lang w:eastAsia="zh-CN"/>
        </w:rPr>
        <w:t>、</w:t>
      </w:r>
      <w:r>
        <w:rPr>
          <w:rFonts w:hint="eastAsia" w:ascii="仿宋" w:hAnsi="Calibri" w:eastAsia="仿宋" w:cs="Arial"/>
          <w:b/>
          <w:bCs/>
          <w:sz w:val="28"/>
        </w:rPr>
        <w:t>竞赛目的</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旨在融合世界技能大赛的技术标准和规则要求，通过大赛让参赛选手经历一个基于完整工作过程的检测，使参赛选手熟悉并掌握世界技能大赛的技术规范和行业技术标准。通过竞赛来检测教学水平，引领和促进职业教育教学改革，促进与世界最新水平接轨，营造崇尚技能的社会氛围。</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网络系统管理岗位上的人员主要工作在商业和组织机构中，包括网络运营中心、互联网服务提供商、数据中心等工作场所；为用户提供日常 IT 业务运营，支持广泛的 IT 信息服务：用户业务支持、故</w:t>
      </w:r>
      <w:bookmarkStart w:id="0" w:name="page2"/>
      <w:bookmarkEnd w:id="0"/>
      <w:r>
        <w:rPr>
          <w:rFonts w:hint="eastAsia" w:ascii="仿宋" w:hAnsi="Calibri" w:eastAsia="仿宋" w:cs="Arial"/>
          <w:sz w:val="28"/>
        </w:rPr>
        <w:t>障排除、设计、安装与升级操作系统、规划网络应用、配置网络设备等。此外，网络系统管理人员有责任与用户进行专业的工作交互，以满足用户的信息化需求，确保 IT 系统和网络服务的连续性，并对 IT 系统的运营和网络服务的开发提供建议和指导，以提升 IT 网络信息系统的管理效能，推动组织向前发展。</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培养参赛选手在企业真实项目环境下进行网络规划与实施、配置网络设备的基础信息、搭建网络与部署信息化系统的方案、搭建移动互联网与实现无线网络优化、实施出口安全防护与远程接入、搭建网络服务与配置企业应用、完成网络设计与规划等信息化全网融合领域的核心技能；同时培养选手的沟通力、抗压力、6S  规范等职业素质；展现职业院校计算机网络技术及其相关专业学生的技能与风采，激发学生求知欲和参赛热情，以达到“以赛促学、以赛促教、以赛促改”目的。</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通过大赛搭建校企合作平台，引导更多的行业、企业参与校企合作，深化产教融合，推进产教融合人才培养，使职业院校能更深入地了解产业的发展趋势以及产业对 IT 人才的需求标准，引领计算机网络技术及相关专业改革与发展，适应互联网+、移动互联、云计算、大数据、智慧城市等新一代网络技术发展的需求，推动专业的新模式、新业态、新应用的发展。</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通过大赛培养一批“实践能力强、教学水平高、敬业精神佳”的双师型“种子教师”师资队伍，建设一批高质量、立体化的专业课程资源包、项目教学资源等。</w:t>
      </w:r>
      <w:bookmarkStart w:id="1" w:name="page3"/>
      <w:bookmarkEnd w:id="1"/>
    </w:p>
    <w:p>
      <w:pPr>
        <w:numPr>
          <w:ilvl w:val="0"/>
          <w:numId w:val="1"/>
        </w:numPr>
        <w:adjustRightInd w:val="0"/>
        <w:snapToGrid w:val="0"/>
        <w:spacing w:before="240"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rPr>
        <w:t>竞赛</w:t>
      </w:r>
      <w:r>
        <w:rPr>
          <w:rFonts w:hint="eastAsia" w:ascii="仿宋" w:hAnsi="Calibri" w:eastAsia="仿宋" w:cs="Arial"/>
          <w:b/>
          <w:bCs/>
          <w:sz w:val="28"/>
          <w:lang w:val="en-US" w:eastAsia="zh-CN"/>
        </w:rPr>
        <w:t>时间、地点</w:t>
      </w:r>
    </w:p>
    <w:p>
      <w:pPr>
        <w:adjustRightInd w:val="0"/>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1.竞赛时间</w:t>
      </w:r>
    </w:p>
    <w:p>
      <w:pPr>
        <w:adjustRightInd w:val="0"/>
        <w:spacing w:line="56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202</w:t>
      </w:r>
      <w:r>
        <w:rPr>
          <w:rFonts w:hint="eastAsia" w:ascii="仿宋_GB2312" w:hAnsi="仿宋" w:eastAsia="仿宋_GB2312"/>
          <w:sz w:val="28"/>
          <w:szCs w:val="28"/>
          <w:highlight w:val="none"/>
          <w:lang w:val="en-US" w:eastAsia="zh-CN"/>
        </w:rPr>
        <w:t>2</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28</w:t>
      </w:r>
      <w:r>
        <w:rPr>
          <w:rFonts w:hint="eastAsia" w:ascii="仿宋_GB2312" w:hAnsi="仿宋" w:eastAsia="仿宋_GB2312"/>
          <w:sz w:val="28"/>
          <w:szCs w:val="28"/>
          <w:highlight w:val="none"/>
        </w:rPr>
        <w:t>日14:30-15:30</w:t>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参赛队报到，领取资料</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3月29</w:t>
      </w:r>
      <w:r>
        <w:rPr>
          <w:rFonts w:hint="eastAsia" w:ascii="仿宋_GB2312" w:hAnsi="仿宋" w:eastAsia="仿宋_GB2312"/>
          <w:sz w:val="28"/>
          <w:szCs w:val="28"/>
          <w:highlight w:val="none"/>
        </w:rPr>
        <w:t>日正式竞赛。</w:t>
      </w:r>
    </w:p>
    <w:p>
      <w:pPr>
        <w:adjustRightInd w:val="0"/>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2.竞赛地点</w:t>
      </w:r>
    </w:p>
    <w:p>
      <w:pPr>
        <w:adjustRightInd w:val="0"/>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甘肃交通职业技术学院综合楼（兰州市安宁区邱家湾128号）。</w:t>
      </w:r>
    </w:p>
    <w:p>
      <w:pPr>
        <w:adjustRightInd w:val="0"/>
        <w:snapToGrid w:val="0"/>
        <w:spacing w:before="240"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四</w:t>
      </w:r>
      <w:r>
        <w:rPr>
          <w:rFonts w:hint="eastAsia" w:ascii="仿宋" w:hAnsi="Calibri" w:eastAsia="仿宋" w:cs="Arial"/>
          <w:b/>
          <w:bCs/>
          <w:sz w:val="28"/>
          <w:lang w:eastAsia="zh-CN"/>
        </w:rPr>
        <w:t>、</w:t>
      </w:r>
      <w:r>
        <w:rPr>
          <w:rFonts w:hint="eastAsia" w:ascii="仿宋" w:hAnsi="Calibri" w:eastAsia="仿宋" w:cs="Arial"/>
          <w:b/>
          <w:bCs/>
          <w:sz w:val="28"/>
        </w:rPr>
        <w:t>竞赛内容</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网络系统管理赛项基于企业真实项目，结合企业岗位技能需求，</w:t>
      </w:r>
      <w:bookmarkStart w:id="2" w:name="page9"/>
      <w:bookmarkEnd w:id="2"/>
      <w:r>
        <w:rPr>
          <w:rFonts w:hint="eastAsia" w:ascii="仿宋" w:hAnsi="Calibri" w:eastAsia="仿宋" w:cs="Arial"/>
          <w:sz w:val="28"/>
        </w:rPr>
        <w:t>在 规定时间内完成指定任务的网络系统规划和网络服务业务部署。</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一）</w:t>
      </w:r>
      <w:r>
        <w:rPr>
          <w:rFonts w:hint="eastAsia" w:ascii="仿宋" w:hAnsi="Calibri" w:eastAsia="仿宋" w:cs="Arial"/>
          <w:b/>
          <w:bCs/>
          <w:sz w:val="28"/>
        </w:rPr>
        <w:t>竞赛内容</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本竞赛结合国内行业、企业的实际业务和世赛标准来组织命题；本竞赛只考核技能部分，不涉及理论。本竞赛进行的技能实操考核，涉及 系统服务（Linux环境和Windows环境）模块、网络构建模块2个模块，详细内容如下表所示。</w:t>
      </w:r>
    </w:p>
    <w:tbl>
      <w:tblPr>
        <w:tblStyle w:val="8"/>
        <w:tblW w:w="6854" w:type="dxa"/>
        <w:tblInd w:w="672" w:type="dxa"/>
        <w:tblLayout w:type="autofit"/>
        <w:tblCellMar>
          <w:top w:w="0" w:type="dxa"/>
          <w:left w:w="108" w:type="dxa"/>
          <w:bottom w:w="0" w:type="dxa"/>
          <w:right w:w="108" w:type="dxa"/>
        </w:tblCellMar>
      </w:tblPr>
      <w:tblGrid>
        <w:gridCol w:w="1174"/>
        <w:gridCol w:w="1660"/>
        <w:gridCol w:w="940"/>
        <w:gridCol w:w="1690"/>
        <w:gridCol w:w="1390"/>
      </w:tblGrid>
      <w:tr>
        <w:tblPrEx>
          <w:tblCellMar>
            <w:top w:w="0" w:type="dxa"/>
            <w:left w:w="108" w:type="dxa"/>
            <w:bottom w:w="0" w:type="dxa"/>
            <w:right w:w="108" w:type="dxa"/>
          </w:tblCellMar>
        </w:tblPrEx>
        <w:trPr>
          <w:trHeight w:val="285" w:hRule="atLeast"/>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模块编号</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模块名称</w:t>
            </w:r>
          </w:p>
        </w:tc>
        <w:tc>
          <w:tcPr>
            <w:tcW w:w="40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分数</w:t>
            </w:r>
          </w:p>
        </w:tc>
      </w:tr>
      <w:tr>
        <w:tblPrEx>
          <w:tblCellMar>
            <w:top w:w="0" w:type="dxa"/>
            <w:left w:w="108" w:type="dxa"/>
            <w:bottom w:w="0" w:type="dxa"/>
            <w:right w:w="108" w:type="dxa"/>
          </w:tblCellMar>
        </w:tblPrEx>
        <w:trPr>
          <w:trHeight w:val="285" w:hRule="atLeast"/>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b/>
                <w:bCs/>
                <w:color w:val="000000"/>
                <w:kern w:val="0"/>
                <w:sz w:val="22"/>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b/>
                <w:bCs/>
                <w:color w:val="000000"/>
                <w:kern w:val="0"/>
                <w:sz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评价分</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测量分（%）</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b/>
                <w:bCs/>
                <w:color w:val="000000"/>
                <w:kern w:val="0"/>
                <w:sz w:val="22"/>
              </w:rPr>
            </w:pPr>
            <w:r>
              <w:rPr>
                <w:rFonts w:hint="eastAsia" w:ascii="仿宋" w:hAnsi="仿宋" w:eastAsia="仿宋" w:cs="宋体"/>
                <w:b/>
                <w:bCs/>
                <w:color w:val="000000"/>
                <w:kern w:val="0"/>
                <w:sz w:val="22"/>
              </w:rPr>
              <w:t>合计（%）</w:t>
            </w:r>
          </w:p>
        </w:tc>
      </w:tr>
      <w:tr>
        <w:tblPrEx>
          <w:tblCellMar>
            <w:top w:w="0" w:type="dxa"/>
            <w:left w:w="108" w:type="dxa"/>
            <w:bottom w:w="0" w:type="dxa"/>
            <w:right w:w="108" w:type="dxa"/>
          </w:tblCellMar>
        </w:tblPrEx>
        <w:trPr>
          <w:trHeight w:val="285" w:hRule="atLeast"/>
        </w:trPr>
        <w:tc>
          <w:tcPr>
            <w:tcW w:w="11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A</w:t>
            </w:r>
          </w:p>
        </w:tc>
        <w:tc>
          <w:tcPr>
            <w:tcW w:w="16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系统服务</w:t>
            </w: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r>
      <w:tr>
        <w:tblPrEx>
          <w:tblCellMar>
            <w:top w:w="0" w:type="dxa"/>
            <w:left w:w="108" w:type="dxa"/>
            <w:bottom w:w="0" w:type="dxa"/>
            <w:right w:w="108" w:type="dxa"/>
          </w:tblCellMar>
        </w:tblPrEx>
        <w:trPr>
          <w:trHeight w:val="285" w:hRule="atLeast"/>
        </w:trPr>
        <w:tc>
          <w:tcPr>
            <w:tcW w:w="11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B</w:t>
            </w:r>
          </w:p>
        </w:tc>
        <w:tc>
          <w:tcPr>
            <w:tcW w:w="16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网络构建</w:t>
            </w:r>
          </w:p>
        </w:tc>
        <w:tc>
          <w:tcPr>
            <w:tcW w:w="9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w:t>
            </w:r>
          </w:p>
        </w:tc>
        <w:tc>
          <w:tcPr>
            <w:tcW w:w="16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50</w:t>
            </w:r>
          </w:p>
        </w:tc>
      </w:tr>
      <w:tr>
        <w:tblPrEx>
          <w:tblCellMar>
            <w:top w:w="0" w:type="dxa"/>
            <w:left w:w="108" w:type="dxa"/>
            <w:bottom w:w="0" w:type="dxa"/>
            <w:right w:w="108" w:type="dxa"/>
          </w:tblCellMar>
        </w:tblPrEx>
        <w:trPr>
          <w:trHeight w:val="285" w:hRule="atLeast"/>
        </w:trPr>
        <w:tc>
          <w:tcPr>
            <w:tcW w:w="546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总计</w:t>
            </w:r>
          </w:p>
        </w:tc>
        <w:tc>
          <w:tcPr>
            <w:tcW w:w="139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22"/>
              </w:rPr>
            </w:pPr>
            <w:r>
              <w:rPr>
                <w:rFonts w:hint="eastAsia" w:ascii="仿宋" w:hAnsi="仿宋" w:eastAsia="仿宋" w:cs="宋体"/>
                <w:color w:val="000000"/>
                <w:kern w:val="0"/>
                <w:sz w:val="22"/>
              </w:rPr>
              <w:t>100</w:t>
            </w:r>
          </w:p>
        </w:tc>
      </w:tr>
    </w:tbl>
    <w:p>
      <w:pPr>
        <w:adjustRightInd w:val="0"/>
        <w:snapToGrid w:val="0"/>
        <w:ind w:firstLine="420" w:firstLineChars="200"/>
        <w:rPr>
          <w:rFonts w:ascii="宋体" w:hAnsi="宋体" w:eastAsia="宋体"/>
          <w:szCs w:val="15"/>
        </w:rPr>
      </w:pPr>
      <w:r>
        <w:rPr>
          <w:rFonts w:ascii="宋体" w:hAnsi="宋体" w:eastAsia="宋体"/>
          <w:szCs w:val="15"/>
        </w:rPr>
        <w:t>备注 1：关于职业规范与赛场纪律由现场裁判评分，权重</w:t>
      </w:r>
      <w:r>
        <w:rPr>
          <w:rFonts w:hint="eastAsia" w:ascii="宋体" w:hAnsi="宋体" w:eastAsia="宋体"/>
          <w:szCs w:val="15"/>
        </w:rPr>
        <w:t>2</w:t>
      </w:r>
      <w:r>
        <w:rPr>
          <w:rFonts w:ascii="宋体" w:hAnsi="宋体" w:eastAsia="宋体"/>
          <w:szCs w:val="15"/>
        </w:rPr>
        <w:t>%，作为额外加分累计。</w:t>
      </w:r>
    </w:p>
    <w:p>
      <w:pPr>
        <w:adjustRightInd w:val="0"/>
        <w:snapToGrid w:val="0"/>
        <w:ind w:firstLine="420" w:firstLineChars="200"/>
        <w:rPr>
          <w:rFonts w:ascii="宋体" w:hAnsi="宋体" w:eastAsia="宋体"/>
          <w:szCs w:val="15"/>
        </w:rPr>
      </w:pPr>
      <w:r>
        <w:rPr>
          <w:rFonts w:hint="eastAsia" w:ascii="宋体" w:hAnsi="宋体" w:eastAsia="宋体" w:cs="Times New Roman"/>
          <w:szCs w:val="15"/>
          <w:lang w:bidi="ar"/>
        </w:rPr>
        <w:t>备注 2：关于文档制作规范性由评分裁判评分，权重 3%，作为额外加分累计。</w:t>
      </w:r>
    </w:p>
    <w:p>
      <w:pPr>
        <w:adjustRightInd w:val="0"/>
        <w:snapToGrid w:val="0"/>
        <w:ind w:firstLine="420" w:firstLineChars="200"/>
        <w:rPr>
          <w:rFonts w:ascii="宋体" w:hAnsi="宋体" w:eastAsia="宋体"/>
          <w:szCs w:val="15"/>
        </w:rPr>
      </w:pPr>
      <w:r>
        <w:rPr>
          <w:rFonts w:ascii="宋体" w:hAnsi="宋体" w:eastAsia="宋体"/>
          <w:szCs w:val="15"/>
        </w:rPr>
        <w:t xml:space="preserve">备注 </w:t>
      </w:r>
      <w:r>
        <w:rPr>
          <w:rFonts w:hint="eastAsia" w:ascii="宋体" w:hAnsi="宋体" w:eastAsia="宋体"/>
          <w:szCs w:val="15"/>
        </w:rPr>
        <w:t>3</w:t>
      </w:r>
      <w:r>
        <w:rPr>
          <w:rFonts w:ascii="宋体" w:hAnsi="宋体" w:eastAsia="宋体"/>
          <w:szCs w:val="15"/>
        </w:rPr>
        <w:t>：关于最终赛题难度将由专家组讨论决定。</w:t>
      </w:r>
    </w:p>
    <w:p>
      <w:pPr>
        <w:adjustRightInd w:val="0"/>
        <w:snapToGrid w:val="0"/>
        <w:ind w:firstLine="420" w:firstLineChars="200"/>
        <w:rPr>
          <w:rFonts w:hint="eastAsia" w:ascii="宋体" w:hAnsi="宋体" w:eastAsia="宋体"/>
          <w:szCs w:val="15"/>
          <w:lang w:eastAsia="zh-CN"/>
        </w:rPr>
      </w:pP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参赛选手需要根据赛项的要求，对竞赛现场环境中部署的网络服务项目进行分析、设计、连接、配置、调试和排障；对网络中的服务器和客户端进行相应配置，实现全网的互联互通，并保障网络安全。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二）</w:t>
      </w:r>
      <w:r>
        <w:rPr>
          <w:rFonts w:hint="eastAsia" w:ascii="仿宋" w:hAnsi="Calibri" w:eastAsia="仿宋" w:cs="Arial"/>
          <w:b/>
          <w:bCs/>
          <w:sz w:val="28"/>
        </w:rPr>
        <w:t>模块介绍</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本次竞赛中各模块的基本内容如下所示。</w:t>
      </w:r>
    </w:p>
    <w:tbl>
      <w:tblPr>
        <w:tblStyle w:val="8"/>
        <w:tblW w:w="5860" w:type="dxa"/>
        <w:tblInd w:w="686" w:type="dxa"/>
        <w:tblLayout w:type="autofit"/>
        <w:tblCellMar>
          <w:top w:w="0" w:type="dxa"/>
          <w:left w:w="108" w:type="dxa"/>
          <w:bottom w:w="0" w:type="dxa"/>
          <w:right w:w="108" w:type="dxa"/>
        </w:tblCellMar>
      </w:tblPr>
      <w:tblGrid>
        <w:gridCol w:w="1640"/>
        <w:gridCol w:w="1660"/>
        <w:gridCol w:w="2560"/>
      </w:tblGrid>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模块编号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模块名称</w:t>
            </w:r>
          </w:p>
        </w:tc>
        <w:tc>
          <w:tcPr>
            <w:tcW w:w="256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工作任务</w:t>
            </w:r>
          </w:p>
        </w:tc>
      </w:tr>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A</w:t>
            </w:r>
          </w:p>
        </w:tc>
        <w:tc>
          <w:tcPr>
            <w:tcW w:w="16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系统服务</w:t>
            </w:r>
          </w:p>
        </w:tc>
        <w:tc>
          <w:tcPr>
            <w:tcW w:w="25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安装、配置及测试服务</w:t>
            </w:r>
          </w:p>
        </w:tc>
      </w:tr>
      <w:tr>
        <w:tblPrEx>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B</w:t>
            </w:r>
          </w:p>
        </w:tc>
        <w:tc>
          <w:tcPr>
            <w:tcW w:w="16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网络构建</w:t>
            </w:r>
          </w:p>
        </w:tc>
        <w:tc>
          <w:tcPr>
            <w:tcW w:w="25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连接、配置及调试网络</w:t>
            </w:r>
          </w:p>
        </w:tc>
      </w:tr>
    </w:tbl>
    <w:p>
      <w:pPr>
        <w:adjustRightInd w:val="0"/>
        <w:snapToGrid w:val="0"/>
        <w:rPr>
          <w:rFonts w:ascii="Times New Roman" w:hAnsi="Times New Roman"/>
        </w:rPr>
      </w:pPr>
      <w:r>
        <w:rPr>
          <w:rFonts w:ascii="Times New Roman" w:hAnsi="Times New Roman" w:eastAsia="Times New Roman"/>
          <w:sz w:val="24"/>
        </w:rPr>
        <mc:AlternateContent>
          <mc:Choice Requires="wps">
            <w:drawing>
              <wp:anchor distT="0" distB="0" distL="114300" distR="114300" simplePos="0" relativeHeight="251660288" behindDoc="1" locked="0" layoutInCell="0" allowOverlap="1">
                <wp:simplePos x="0" y="0"/>
                <wp:positionH relativeFrom="column">
                  <wp:posOffset>5292090</wp:posOffset>
                </wp:positionH>
                <wp:positionV relativeFrom="paragraph">
                  <wp:posOffset>-397510</wp:posOffset>
                </wp:positionV>
                <wp:extent cx="12700" cy="12065"/>
                <wp:effectExtent l="4445" t="4445" r="20955" b="1206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6.7pt;margin-top:-31.3pt;height:0.95pt;width:1pt;z-index:-251656192;mso-width-relative:page;mso-height-relative:page;" fillcolor="#000000" filled="t" stroked="t" coordsize="21600,21600" o:allowincell="f" o:gfxdata="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CPdkX2AAAAAsBAAAPAAAAAAAAAAEAIAAAACIAAABkcnMvZG93bnJl&#10;di54bWxQSwECFAAUAAAACACHTuJAVY1r8DYCAAB5BAAADgAAAAAAAAABACAAAAAnAQAAZHJzL2Uy&#10;b0RvYy54bWxQSwUGAAAAAAYABgBZAQAAzwUAAAAA&#10;">
                <v:fill on="t" focussize="0,0"/>
                <v:stroke color="#FFFFFF" miterlimit="8" joinstyle="miter"/>
                <v:imagedata o:title=""/>
                <o:lock v:ext="edit" aspectratio="f"/>
                <v:textbox>
                  <w:txbxContent>
                    <w:p>
                      <w:pPr>
                        <w:jc w:val="center"/>
                      </w:pPr>
                    </w:p>
                  </w:txbxContent>
                </v:textbox>
              </v:rect>
            </w:pict>
          </mc:Fallback>
        </mc:AlternateContent>
      </w:r>
      <w:bookmarkStart w:id="3" w:name="page10"/>
      <w:bookmarkEnd w:id="3"/>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其中，各模块的详细内容描述如下。</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1.</w:t>
      </w:r>
      <w:r>
        <w:rPr>
          <w:rFonts w:hint="eastAsia" w:ascii="仿宋" w:hAnsi="Calibri" w:eastAsia="仿宋" w:cs="Arial"/>
          <w:b/>
          <w:bCs/>
          <w:sz w:val="28"/>
        </w:rPr>
        <w:t>系统服务-Linux 环境模块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依据设计图纸配置系统网络连接，依据信息系统构建要求，完成基于 Linux 系统的企业信息化系统的构建；在符合 LPI2 技术水平规范要求的情况下，管理多台 Linux 服务的网络资源、存储资源、计算资源的分配与管理，提供安全有效的信息化系统平台的服务。</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根据需求安装一个主流的 Linux 发行版。</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安装和配置 Linux 服务，如 Apache、MySQL等。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根据预装计划分区。</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配置文件系统。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安装操作系统后对软件包进行管理。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选择适当的网络配置和协议。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 Linux 安装选择适当的参数。</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配置必要的外设。</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为合法用户的安全访问管理存储设备。</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挂载和卸载不同的文件系统。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创建和修改文件和目录。</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执行内容和目录搜索。</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创建链接文件。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修改文件和目录的权限和所有者。</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识别和修改文件和目录默认权限。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对可记录式媒体进行访问和数据写入。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 Linux 服务或进程以有效利用资源。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管理运行级别和系统初始化。</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通过标识、执行、撤消和管理等控制进程。</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修复（软件）包和脚本。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监测和诊断网络活动。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管理打印作业和打印队列。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执行远程管理。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通过创建、修改和使用命令来管理基本的 shell 脚本。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通过创建、修改和删除命令来管理用户和组帐户。</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管理和访问邮件队列。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使用守护进程来调度将要执行的作业。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配置客户端网络服务和设置。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配置基本的服务器网络服务。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实现基本的路由和子网设置。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配置系统和执行基本的 makefile 修改以支持编译应用程序和驱动程序。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配置用于挂载硬盘或者分区的文件。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 DNS。</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配置网络接口卡。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Linux 打印服务。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应用基本的打印机权限。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配置日志文件。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X 窗口系统。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建立环境变量。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管理服务器/工作站安全参数以维护操作系统和数据完整性。</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配置安全环境文件。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给定安全需求，实施适当的加密配置。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使用适当的访问级别登录（系统）。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设置进程和特殊权限。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给定安全需求，实现基本的 IP 表/链。</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为文件和身份验证实现安全审计。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建立用户级安全。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配置便携式系统硬件。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RAID(冗余磁盘阵列)。</w:t>
      </w:r>
    </w:p>
    <w:p>
      <w:pPr>
        <w:adjustRightInd w:val="0"/>
        <w:snapToGrid w:val="0"/>
        <w:spacing w:line="360" w:lineRule="auto"/>
        <w:ind w:firstLine="562" w:firstLineChars="200"/>
        <w:rPr>
          <w:rFonts w:hint="eastAsia" w:ascii="仿宋" w:hAnsi="Calibri" w:eastAsia="仿宋" w:cs="Arial"/>
          <w:b/>
          <w:bCs/>
          <w:sz w:val="28"/>
        </w:rPr>
      </w:pPr>
      <w:bookmarkStart w:id="4" w:name="page12"/>
      <w:bookmarkEnd w:id="4"/>
      <w:r>
        <w:rPr>
          <w:rFonts w:hint="eastAsia" w:ascii="仿宋" w:hAnsi="Calibri" w:eastAsia="仿宋" w:cs="Arial"/>
          <w:b/>
          <w:bCs/>
          <w:sz w:val="28"/>
          <w:lang w:val="en-US" w:eastAsia="zh-CN"/>
        </w:rPr>
        <w:t>2.</w:t>
      </w:r>
      <w:r>
        <w:rPr>
          <w:rFonts w:hint="eastAsia" w:ascii="仿宋" w:hAnsi="Calibri" w:eastAsia="仿宋" w:cs="Arial"/>
          <w:b/>
          <w:bCs/>
          <w:sz w:val="28"/>
        </w:rPr>
        <w:t>系统服务-Windows 环境模块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依据设计图纸要求，配置和管理 Windows 用户及应用服务器；在活动目录环境中实现用户、组和计算机账户统一管理，配置对共享文件夹的安全访问；为 Windows 远程管理安装和配置终端服务；创建控制用户桌面的设置等安全性的策略。</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管理本地、漫游和强制的用户（配置）文件。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在活动目录环境中实现用户、组和计算机帐户。</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配置对共享文件夹的访问。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为远程管理安装和配置终端服务。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安装和配置终端服务，为瘦客户端提供应用程序。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配置文件系统权限。</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建控制用户桌面的设置和安全性的策略。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管理策略的应用。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通过策略来部署软件。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配置和管理网络服务器。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配置网站的身份验证。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为服务器执行系统还原。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管理备份过程。</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从服务器硬件故障中还原系统。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DNS 服务器的服务。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RAID(磁盘冗余阵列)。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远程管理网络的附属存储。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实现虚拟化软件。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在虚拟计算环境中执行系统还原。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管理审计设置和审计日志。</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 DHCP。</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验证 DHCP 的保留配置。</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安装操作系统映像。</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配置网络策略服务器。</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3.</w:t>
      </w:r>
      <w:r>
        <w:rPr>
          <w:rFonts w:hint="eastAsia" w:ascii="仿宋" w:hAnsi="Calibri" w:eastAsia="仿宋" w:cs="Arial"/>
          <w:b/>
          <w:bCs/>
          <w:sz w:val="28"/>
        </w:rPr>
        <w:t>网络构建模块</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依据网络构建的服务需求，构建复杂的网络及服务，完成各类网络设备的配置与管理。根据行业认证要求，用户需求及设计要求，在所有有可能在网络环境出现的网络设备上，例如：路由器、数据中心交换机、出口网关、无线设备等等应用各种类型的服务配置，包括软件及硬件升级，设计并执行灾难恢复流程等。</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参赛选手需要掌握以下并不仅限于以下技能。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根据拓扑规划，根据设备在实际案例中的位置规范配置设备。</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会配置设备的远程访问，会配置接口描述，按照标准规范密码等。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恢复与重置网络设备密码。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根据软件版本发布规定升级到专属的软件版本。</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配置交换机安全技术（如SSH、ACL、SNMP等）实现网络安全性。</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会进行网络联调、测试和验证。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配置虚拟局域网技术，实现网络广播隔离与区域划分。</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配置交换机DHCP中继，实现用户动态获取地址。</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配置交换机生成树技术，实现网络冗余与备份。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配置交换机路由技术（如静态、RIP、OSPF、BGP等），实现网络连通。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根据需求描述及对功能理解，完成路由器配置。包括静态路由、RIP、OSPF、BGP等，实现网络连通。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掌握IPV6常用路由协议，会组建IPV6网络，实现网络连通。</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会配置IPV6隧道技术，实现IPV6 over IPV4通信。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配置和应用常用广域网技术（如 PPP 等）。</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配置交换机高可靠性技术（如链路聚合、DLDP、BFD、Track等），实现网络中链路快速收敛。</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配置交换机VRRP技术，实现网关冗余与备份。</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会实施路由策略，控制路由按照指定策略转发。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配置交换机网络设备虚拟交换技术，实现数据中心网络的虚拟化，实现网络中心网络的高可靠。</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配置无线控制器转发模式，实现无线网络中用户数据本地转发或集中转发。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使用无线控制器创建SSID,实现无线用户关联SSID。</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配置无线控制器热备功能，实现双AC的负载均衡。</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实现无线认证，实现无线用户安全准入。</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使用无线控制器配置AP隔离，实现无线用户二层隔离。</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使用无线控制器配置限制，实现特性用户流量限速。</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使用无线控制器配置数据加密，实现用户通信安全。</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使用出网关配置NAPT及时间控制，实现用户访问互联网。</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使用出口网关Web Portal认证，实现用户身份认证。</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使用出口网关流量控制，实现特定业务速率限制。</w:t>
      </w:r>
    </w:p>
    <w:p>
      <w:pPr>
        <w:numPr>
          <w:ilvl w:val="0"/>
          <w:numId w:val="2"/>
        </w:numPr>
        <w:adjustRightInd w:val="0"/>
        <w:snapToGrid w:val="0"/>
        <w:spacing w:line="360" w:lineRule="auto"/>
        <w:ind w:left="420" w:leftChars="0" w:firstLine="220" w:firstLineChars="0"/>
        <w:rPr>
          <w:rFonts w:hint="eastAsia" w:ascii="仿宋" w:hAnsi="Calibri" w:eastAsia="仿宋" w:cs="Arial"/>
          <w:sz w:val="28"/>
        </w:rPr>
      </w:pPr>
      <w:r>
        <w:rPr>
          <w:rFonts w:hint="eastAsia" w:ascii="仿宋" w:hAnsi="Calibri" w:eastAsia="仿宋" w:cs="Arial"/>
          <w:sz w:val="28"/>
        </w:rPr>
        <w:t>使用出口网关行为审计，实现内网用户数据安全审计。</w:t>
      </w:r>
    </w:p>
    <w:p>
      <w:pPr>
        <w:numPr>
          <w:ilvl w:val="0"/>
          <w:numId w:val="2"/>
        </w:numPr>
        <w:adjustRightInd w:val="0"/>
        <w:snapToGrid w:val="0"/>
        <w:spacing w:line="360" w:lineRule="auto"/>
        <w:ind w:left="0" w:leftChars="0" w:firstLine="640" w:firstLineChars="0"/>
        <w:rPr>
          <w:rFonts w:hint="eastAsia" w:ascii="仿宋" w:hAnsi="Calibri" w:eastAsia="仿宋" w:cs="Arial"/>
          <w:sz w:val="28"/>
        </w:rPr>
      </w:pPr>
      <w:r>
        <w:rPr>
          <w:rFonts w:hint="eastAsia" w:ascii="仿宋" w:hAnsi="Calibri" w:eastAsia="仿宋" w:cs="Arial"/>
          <w:sz w:val="28"/>
        </w:rPr>
        <w:t>使用出口网关实现VPN，基于行业应用场景实现外网用户安全访问内网服务，实现隧道技术，包括不限于 GRE 隧道，Ipsec隧道等。</w:t>
      </w:r>
    </w:p>
    <w:p>
      <w:pPr>
        <w:numPr>
          <w:ilvl w:val="0"/>
          <w:numId w:val="2"/>
        </w:numPr>
        <w:adjustRightInd w:val="0"/>
        <w:snapToGrid w:val="0"/>
        <w:spacing w:line="360" w:lineRule="auto"/>
        <w:ind w:left="0" w:leftChars="0" w:firstLine="640" w:firstLineChars="0"/>
        <w:rPr>
          <w:rFonts w:ascii="仿宋" w:hAnsi="仿宋" w:eastAsia="仿宋"/>
          <w:sz w:val="22"/>
          <w:szCs w:val="16"/>
        </w:rPr>
      </w:pPr>
      <w:r>
        <w:rPr>
          <w:rFonts w:hint="eastAsia" w:ascii="仿宋" w:hAnsi="Calibri" w:eastAsia="仿宋" w:cs="Arial"/>
          <w:sz w:val="28"/>
          <w:lang w:val="en-US" w:eastAsia="zh-CN"/>
        </w:rPr>
        <w:t xml:space="preserve"> </w:t>
      </w:r>
      <w:r>
        <w:rPr>
          <w:rFonts w:hint="eastAsia" w:ascii="仿宋" w:hAnsi="Calibri" w:eastAsia="仿宋" w:cs="Arial"/>
          <w:sz w:val="28"/>
        </w:rPr>
        <w:t>会开展无线地勘和工勘，能绘制无线规划平面图、设计 AP 点位图、配置热图、规划设备清单和物料清单、计算无线规划的材料总价表。</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eastAsia="zh-CN"/>
        </w:rPr>
        <w:t>（</w:t>
      </w:r>
      <w:r>
        <w:rPr>
          <w:rFonts w:hint="eastAsia" w:ascii="仿宋" w:hAnsi="Calibri" w:eastAsia="仿宋" w:cs="Arial"/>
          <w:b/>
          <w:bCs/>
          <w:sz w:val="28"/>
          <w:lang w:val="en-US" w:eastAsia="zh-CN"/>
        </w:rPr>
        <w:t>三）</w:t>
      </w:r>
      <w:r>
        <w:rPr>
          <w:rFonts w:hint="eastAsia" w:ascii="仿宋" w:hAnsi="Calibri" w:eastAsia="仿宋" w:cs="Arial"/>
          <w:b/>
          <w:bCs/>
          <w:sz w:val="28"/>
        </w:rPr>
        <w:t>其他要求</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参赛选手在竞赛过程中，还需要能有序组织和安排工作、注意赛场安全、保持环境整洁、个人着装规范、注意安全保护、遵守赛场纪律以及自我管理等职业能力作为额外加分项累加予以鼓励。</w:t>
      </w:r>
      <w:bookmarkStart w:id="5" w:name="page15"/>
      <w:bookmarkEnd w:id="5"/>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lang w:val="en-US" w:eastAsia="zh-CN"/>
        </w:rPr>
        <w:t>五</w:t>
      </w:r>
      <w:r>
        <w:rPr>
          <w:rFonts w:hint="eastAsia" w:ascii="仿宋" w:hAnsi="Calibri" w:eastAsia="仿宋" w:cs="Arial"/>
          <w:b/>
          <w:bCs/>
          <w:sz w:val="28"/>
          <w:lang w:eastAsia="zh-CN"/>
        </w:rPr>
        <w:t>、</w:t>
      </w:r>
      <w:r>
        <w:rPr>
          <w:rFonts w:hint="eastAsia" w:ascii="仿宋" w:hAnsi="Calibri" w:eastAsia="仿宋" w:cs="Arial"/>
          <w:b/>
          <w:bCs/>
          <w:sz w:val="28"/>
        </w:rPr>
        <w:t>竞赛方式</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（一）选手构成</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本赛项为</w:t>
      </w:r>
      <w:r>
        <w:rPr>
          <w:rFonts w:hint="eastAsia" w:ascii="仿宋" w:hAnsi="Calibri" w:eastAsia="仿宋" w:cs="Arial"/>
          <w:sz w:val="28"/>
          <w:lang w:val="en-US" w:eastAsia="zh-CN"/>
        </w:rPr>
        <w:t>个人</w:t>
      </w:r>
      <w:r>
        <w:rPr>
          <w:rFonts w:hint="eastAsia" w:ascii="仿宋" w:hAnsi="Calibri" w:eastAsia="仿宋" w:cs="Arial"/>
          <w:sz w:val="28"/>
        </w:rPr>
        <w:t>赛，每队由本校1位选手组成，必须为在籍高职院校学生，不得跨校组队。其中，性别和年级不限。指导教师须为本校专兼职教师，每队限报1名指导教师。获得往届省级技能大赛一等奖的学生不参加本次同一项目同一组别的省级大赛。</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（二）竞赛时间安排</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本赛项分 A、B 两个模块。所有参赛选手在指定时间、按照比赛要求完成比赛任务。A</w:t>
      </w:r>
      <w:r>
        <w:rPr>
          <w:rFonts w:hint="eastAsia" w:ascii="仿宋" w:hAnsi="Calibri" w:eastAsia="仿宋" w:cs="Arial"/>
          <w:sz w:val="28"/>
          <w:lang w:val="en-US" w:eastAsia="zh-CN"/>
        </w:rPr>
        <w:t>模块用时180分钟，B模块用时150分钟</w:t>
      </w:r>
      <w:r>
        <w:rPr>
          <w:rFonts w:hint="eastAsia" w:ascii="仿宋" w:hAnsi="Calibri" w:eastAsia="仿宋" w:cs="Arial"/>
          <w:sz w:val="28"/>
        </w:rPr>
        <w:t>。</w:t>
      </w:r>
      <w:bookmarkStart w:id="14" w:name="_GoBack"/>
      <w:bookmarkEnd w:id="14"/>
    </w:p>
    <w:p>
      <w:pPr>
        <w:numPr>
          <w:ilvl w:val="0"/>
          <w:numId w:val="3"/>
        </w:numPr>
        <w:adjustRightInd w:val="0"/>
        <w:snapToGrid w:val="0"/>
        <w:spacing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lang w:val="en-US" w:eastAsia="zh-CN"/>
        </w:rPr>
        <w:t>竞赛环境</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（一）赛场布局要求</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竞赛场地包括参赛选手竞赛区域、裁判区域、设备耗材区、技术支持区、服务</w:t>
      </w:r>
      <w:r>
        <w:rPr>
          <w:rFonts w:hint="eastAsia" w:ascii="仿宋_GB2312" w:hAnsi="ˎ̥" w:eastAsia="仿宋_GB2312" w:cs="宋体"/>
          <w:color w:val="000000"/>
          <w:spacing w:val="-21"/>
          <w:kern w:val="0"/>
          <w:sz w:val="32"/>
          <w:szCs w:val="32"/>
          <w:shd w:val="clear" w:color="auto" w:fill="FFFFFF"/>
        </w:rPr>
        <w:t>区。</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1.参赛选手竞赛区域。按照U形布置竞</w:t>
      </w:r>
      <w:bookmarkStart w:id="6" w:name="page22"/>
      <w:bookmarkEnd w:id="6"/>
      <w:r>
        <w:rPr>
          <w:rFonts w:hint="eastAsia" w:ascii="仿宋" w:hAnsi="Calibri" w:eastAsia="仿宋" w:cs="Arial"/>
          <w:sz w:val="28"/>
        </w:rPr>
        <w:t>赛工位。每个竞赛工位标有醒目的工位编号，确保参赛队之间互不干扰。赛场要求竞赛过程全程无死角视频监控，监控录像保存3个月。环境标准要求保证赛场采光、照明和通风良好；提供稳定的水、电，并提供应急的备用电源；提供足够的干粉灭火器材，每个工位提供一个垃圾箱。</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2.裁判区域。供裁判休息及工作场地。共配有电脑</w:t>
      </w:r>
      <w:r>
        <w:rPr>
          <w:rFonts w:hint="eastAsia" w:ascii="仿宋" w:hAnsi="Calibri" w:eastAsia="仿宋" w:cs="Arial"/>
          <w:sz w:val="28"/>
          <w:lang w:val="en-US" w:eastAsia="zh-CN"/>
        </w:rPr>
        <w:t>3</w:t>
      </w:r>
      <w:r>
        <w:rPr>
          <w:rFonts w:hint="eastAsia" w:ascii="仿宋" w:hAnsi="Calibri" w:eastAsia="仿宋" w:cs="Arial"/>
          <w:sz w:val="28"/>
        </w:rPr>
        <w:t>台；A4激光打印机1台；桌椅</w:t>
      </w:r>
      <w:r>
        <w:rPr>
          <w:rFonts w:hint="eastAsia" w:ascii="仿宋" w:hAnsi="Calibri" w:eastAsia="仿宋" w:cs="Arial"/>
          <w:sz w:val="28"/>
          <w:lang w:val="en-US" w:eastAsia="zh-CN"/>
        </w:rPr>
        <w:t>5</w:t>
      </w:r>
      <w:r>
        <w:rPr>
          <w:rFonts w:hint="eastAsia" w:ascii="仿宋" w:hAnsi="Calibri" w:eastAsia="仿宋" w:cs="Arial"/>
          <w:sz w:val="28"/>
        </w:rPr>
        <w:t>套；饮水机、纸杯、文具用品若干。</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3.技术支持区。为技术支持人员的工作场地，为参赛选手竞赛提供技术支持。</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4. 服务区。提供医疗等服务保障，并用隔离带隔离</w:t>
      </w:r>
      <w:r>
        <w:rPr>
          <w:rFonts w:hint="eastAsia" w:ascii="仿宋_GB2312" w:hAnsi="ˎ̥" w:eastAsia="仿宋_GB2312" w:cs="宋体"/>
          <w:color w:val="000000"/>
          <w:spacing w:val="-21"/>
          <w:kern w:val="0"/>
          <w:sz w:val="32"/>
          <w:szCs w:val="32"/>
          <w:shd w:val="clear" w:color="auto" w:fill="FFFFFF"/>
        </w:rPr>
        <w:t>。</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（二）赛场选手安全防护要求</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1.参赛选手应严格遵守设备安全操作规程。</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2.参赛选手停止操作时，应保证设备的正常运行，比赛结束后，所有设备保持运行状态，不要拆、动硬件连接，确保设备正常运行，实现正常评分。</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3.参赛选手应遵从安全规范操作，例如：ESD(静电放电)设备安全使用及储存。</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4.参赛选手应保证设备和信息的完整及安全。</w:t>
      </w:r>
    </w:p>
    <w:p>
      <w:pPr>
        <w:adjustRightInd w:val="0"/>
        <w:snapToGrid w:val="0"/>
        <w:spacing w:line="360" w:lineRule="auto"/>
        <w:ind w:firstLine="562" w:firstLineChars="200"/>
        <w:rPr>
          <w:rFonts w:hint="default" w:ascii="仿宋" w:hAnsi="Calibri" w:eastAsia="仿宋" w:cs="Arial"/>
          <w:b/>
          <w:bCs/>
          <w:sz w:val="28"/>
          <w:lang w:val="en-US" w:eastAsia="zh-CN"/>
        </w:rPr>
      </w:pPr>
      <w:r>
        <w:rPr>
          <w:rFonts w:hint="eastAsia" w:ascii="仿宋" w:hAnsi="Calibri" w:eastAsia="仿宋" w:cs="Arial"/>
          <w:b/>
          <w:bCs/>
          <w:sz w:val="28"/>
          <w:lang w:val="en-US" w:eastAsia="zh-CN"/>
        </w:rPr>
        <w:t>七、技术规范</w:t>
      </w:r>
    </w:p>
    <w:p>
      <w:pPr>
        <w:adjustRightInd w:val="0"/>
        <w:snapToGrid w:val="0"/>
        <w:spacing w:line="360" w:lineRule="auto"/>
        <w:ind w:firstLine="560" w:firstLineChars="200"/>
        <w:rPr>
          <w:rFonts w:hint="eastAsia" w:ascii="仿宋" w:hAnsi="Calibri" w:eastAsia="仿宋" w:cs="Arial"/>
          <w:sz w:val="28"/>
        </w:rPr>
      </w:pPr>
      <w:r>
        <w:rPr>
          <w:rFonts w:hint="eastAsia" w:ascii="仿宋" w:hAnsi="Calibri" w:eastAsia="仿宋" w:cs="Arial"/>
          <w:sz w:val="28"/>
        </w:rPr>
        <w:t>参赛代表队在实施竞赛项目中要求遵循如下规范。</w:t>
      </w:r>
    </w:p>
    <w:tbl>
      <w:tblPr>
        <w:tblStyle w:val="8"/>
        <w:tblW w:w="0" w:type="auto"/>
        <w:tblInd w:w="113" w:type="dxa"/>
        <w:tblLayout w:type="autofit"/>
        <w:tblCellMar>
          <w:top w:w="0" w:type="dxa"/>
          <w:left w:w="108" w:type="dxa"/>
          <w:bottom w:w="0" w:type="dxa"/>
          <w:right w:w="108" w:type="dxa"/>
        </w:tblCellMar>
      </w:tblPr>
      <w:tblGrid>
        <w:gridCol w:w="698"/>
        <w:gridCol w:w="2775"/>
        <w:gridCol w:w="5362"/>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标准号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中文标准名称</w:t>
            </w:r>
          </w:p>
        </w:tc>
      </w:tr>
      <w:tr>
        <w:tblPrEx>
          <w:tblCellMar>
            <w:top w:w="0" w:type="dxa"/>
            <w:left w:w="108" w:type="dxa"/>
            <w:bottom w:w="0" w:type="dxa"/>
            <w:right w:w="108" w:type="dxa"/>
          </w:tblCellMar>
        </w:tblPrEx>
        <w:trPr>
          <w:trHeight w:val="13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教育部职业教育与成人教育司</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高等职业学校专业教学标准（试行）—电子信息大类</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GB50174-2008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电子信息系统机房设计规范</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GB21671-2008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基于以太网技术的局域网系统验收测评规范</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GB/T22239-2008</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信息系统安全等级保护基本要求</w:t>
            </w:r>
          </w:p>
        </w:tc>
      </w:tr>
    </w:tbl>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八</w:t>
      </w:r>
      <w:r>
        <w:rPr>
          <w:rFonts w:hint="eastAsia" w:ascii="仿宋" w:hAnsi="Calibri" w:eastAsia="仿宋" w:cs="Arial"/>
          <w:b/>
          <w:bCs/>
          <w:sz w:val="28"/>
          <w:lang w:eastAsia="zh-CN"/>
        </w:rPr>
        <w:t>、</w:t>
      </w:r>
      <w:r>
        <w:rPr>
          <w:rFonts w:hint="eastAsia" w:ascii="仿宋" w:hAnsi="Calibri" w:eastAsia="仿宋" w:cs="Arial"/>
          <w:b/>
          <w:bCs/>
          <w:sz w:val="28"/>
        </w:rPr>
        <w:t>技术平台</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（一）设备清单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 PC</w:t>
      </w:r>
    </w:p>
    <w:tbl>
      <w:tblPr>
        <w:tblStyle w:val="8"/>
        <w:tblW w:w="8340" w:type="dxa"/>
        <w:tblInd w:w="113" w:type="dxa"/>
        <w:tblLayout w:type="fixed"/>
        <w:tblCellMar>
          <w:top w:w="0" w:type="dxa"/>
          <w:left w:w="108" w:type="dxa"/>
          <w:bottom w:w="0" w:type="dxa"/>
          <w:right w:w="108" w:type="dxa"/>
        </w:tblCellMar>
      </w:tblPr>
      <w:tblGrid>
        <w:gridCol w:w="702"/>
        <w:gridCol w:w="1296"/>
        <w:gridCol w:w="4725"/>
        <w:gridCol w:w="791"/>
        <w:gridCol w:w="826"/>
      </w:tblGrid>
      <w:tr>
        <w:tblPrEx>
          <w:tblCellMar>
            <w:top w:w="0" w:type="dxa"/>
            <w:left w:w="108" w:type="dxa"/>
            <w:bottom w:w="0" w:type="dxa"/>
            <w:right w:w="108" w:type="dxa"/>
          </w:tblCellMar>
        </w:tblPrEx>
        <w:trPr>
          <w:trHeight w:val="414"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序号</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设备名称</w:t>
            </w:r>
          </w:p>
        </w:tc>
        <w:tc>
          <w:tcPr>
            <w:tcW w:w="472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型号</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单位</w:t>
            </w:r>
          </w:p>
        </w:tc>
        <w:tc>
          <w:tcPr>
            <w:tcW w:w="8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color w:val="auto"/>
                <w:sz w:val="24"/>
                <w:szCs w:val="24"/>
              </w:rPr>
            </w:pPr>
            <w:r>
              <w:rPr>
                <w:rFonts w:hint="eastAsia" w:ascii="仿宋" w:hAnsi="仿宋" w:eastAsia="仿宋"/>
                <w:b/>
                <w:bCs/>
                <w:color w:val="auto"/>
                <w:sz w:val="24"/>
                <w:szCs w:val="24"/>
              </w:rPr>
              <w:t>数量</w:t>
            </w:r>
          </w:p>
        </w:tc>
      </w:tr>
      <w:tr>
        <w:tblPrEx>
          <w:tblCellMar>
            <w:top w:w="0" w:type="dxa"/>
            <w:left w:w="108" w:type="dxa"/>
            <w:bottom w:w="0" w:type="dxa"/>
            <w:right w:w="108" w:type="dxa"/>
          </w:tblCellMar>
        </w:tblPrEx>
        <w:trPr>
          <w:trHeight w:val="1408"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9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电脑</w:t>
            </w:r>
          </w:p>
        </w:tc>
        <w:tc>
          <w:tcPr>
            <w:tcW w:w="4725" w:type="dxa"/>
            <w:tcBorders>
              <w:top w:val="nil"/>
              <w:left w:val="nil"/>
              <w:bottom w:val="single" w:color="auto" w:sz="4" w:space="0"/>
              <w:right w:val="single" w:color="auto" w:sz="4" w:space="0"/>
            </w:tcBorders>
            <w:shd w:val="clear" w:color="auto" w:fill="auto"/>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CPU：Intel I7（4 核）以上; 内存： 32G; 硬盘：512G 的 SSD 固态硬盘和 1T 的机械硬盘；网卡： 千兆网卡（1 块）；显示器</w:t>
            </w:r>
          </w:p>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1"/>
                <w:szCs w:val="21"/>
              </w:rPr>
              <w:t>备注：其中 1 台 PC 配备双网卡</w:t>
            </w:r>
          </w:p>
        </w:tc>
        <w:tc>
          <w:tcPr>
            <w:tcW w:w="79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82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r>
        <w:trPr>
          <w:trHeight w:val="285"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9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显示器</w:t>
            </w:r>
          </w:p>
        </w:tc>
        <w:tc>
          <w:tcPr>
            <w:tcW w:w="4725" w:type="dxa"/>
            <w:tcBorders>
              <w:top w:val="nil"/>
              <w:left w:val="nil"/>
              <w:bottom w:val="single" w:color="auto" w:sz="4" w:space="0"/>
              <w:right w:val="single" w:color="auto" w:sz="4" w:space="0"/>
            </w:tcBorders>
            <w:shd w:val="clear" w:color="auto" w:fill="auto"/>
            <w:noWrap/>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15 英寸及以上</w:t>
            </w:r>
          </w:p>
        </w:tc>
        <w:tc>
          <w:tcPr>
            <w:tcW w:w="79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82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bookmarkStart w:id="7" w:name="page25"/>
      <w:bookmarkEnd w:id="7"/>
      <w:r>
        <w:rPr>
          <w:rFonts w:hint="eastAsia" w:ascii="仿宋" w:hAnsi="Calibri" w:eastAsia="仿宋" w:cs="Arial"/>
          <w:sz w:val="28"/>
        </w:rPr>
        <w:t>2、网络设备</w:t>
      </w:r>
    </w:p>
    <w:tbl>
      <w:tblPr>
        <w:tblStyle w:val="8"/>
        <w:tblW w:w="8339" w:type="dxa"/>
        <w:tblInd w:w="113" w:type="dxa"/>
        <w:tblLayout w:type="fixed"/>
        <w:tblCellMar>
          <w:top w:w="0" w:type="dxa"/>
          <w:left w:w="108" w:type="dxa"/>
          <w:bottom w:w="0" w:type="dxa"/>
          <w:right w:w="108" w:type="dxa"/>
        </w:tblCellMar>
      </w:tblPr>
      <w:tblGrid>
        <w:gridCol w:w="704"/>
        <w:gridCol w:w="1295"/>
        <w:gridCol w:w="2391"/>
        <w:gridCol w:w="2337"/>
        <w:gridCol w:w="771"/>
        <w:gridCol w:w="841"/>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129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设备名称</w:t>
            </w:r>
          </w:p>
        </w:tc>
        <w:tc>
          <w:tcPr>
            <w:tcW w:w="23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型号</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锐捷网络</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单位</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数量</w:t>
            </w:r>
          </w:p>
        </w:tc>
      </w:tr>
      <w:tr>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路由器</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模块路由器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RG-RSR20-14E</w:t>
            </w:r>
          </w:p>
          <w:p>
            <w:pPr>
              <w:adjustRightInd w:val="0"/>
              <w:snapToGrid w:val="0"/>
              <w:jc w:val="center"/>
              <w:rPr>
                <w:rFonts w:ascii="仿宋" w:hAnsi="仿宋" w:eastAsia="仿宋"/>
                <w:sz w:val="24"/>
                <w:szCs w:val="24"/>
              </w:rPr>
            </w:pPr>
            <w:r>
              <w:rPr>
                <w:rFonts w:hint="eastAsia" w:ascii="仿宋" w:hAnsi="仿宋" w:eastAsia="仿宋"/>
                <w:sz w:val="24"/>
                <w:szCs w:val="24"/>
              </w:rPr>
              <w:t>或RG-RSR20-X-28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交换机（1）</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数据中心交换机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RG-S6000C</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交换机（2）</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三层可控交换机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RG-S5310-24GTXS-L</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电源模块</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RG-PA70I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129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交换机（3）</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二层可控交换机</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RG-S2910-24GT4XS-E</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出口网关</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网络安全设备</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RG-EG3210</w:t>
            </w:r>
          </w:p>
          <w:p>
            <w:pPr>
              <w:adjustRightInd w:val="0"/>
              <w:snapToGrid w:val="0"/>
              <w:jc w:val="center"/>
              <w:rPr>
                <w:rFonts w:ascii="仿宋" w:hAnsi="仿宋" w:eastAsia="仿宋"/>
                <w:sz w:val="24"/>
                <w:szCs w:val="24"/>
              </w:rPr>
            </w:pPr>
            <w:r>
              <w:rPr>
                <w:rFonts w:hint="eastAsia" w:ascii="仿宋" w:hAnsi="仿宋" w:eastAsia="仿宋"/>
                <w:sz w:val="24"/>
                <w:szCs w:val="24"/>
              </w:rPr>
              <w:t>或RG-EG2000G</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129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无线控制器</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无线控制器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RG-WS6008</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1295"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无线接入设备</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胖、瘦一体AP</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RG-AP520</w:t>
            </w:r>
          </w:p>
          <w:p>
            <w:pPr>
              <w:adjustRightInd w:val="0"/>
              <w:snapToGrid w:val="0"/>
              <w:jc w:val="center"/>
              <w:rPr>
                <w:rFonts w:ascii="仿宋" w:hAnsi="仿宋" w:eastAsia="仿宋"/>
                <w:sz w:val="24"/>
                <w:szCs w:val="24"/>
              </w:rPr>
            </w:pPr>
            <w:r>
              <w:rPr>
                <w:rFonts w:hint="eastAsia" w:ascii="仿宋" w:hAnsi="仿宋" w:eastAsia="仿宋"/>
                <w:sz w:val="24"/>
                <w:szCs w:val="24"/>
              </w:rPr>
              <w:t>或RG-AP850-I</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台</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1295" w:type="dxa"/>
            <w:vMerge w:val="restart"/>
            <w:tcBorders>
              <w:top w:val="nil"/>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配件</w:t>
            </w:r>
          </w:p>
        </w:tc>
        <w:tc>
          <w:tcPr>
            <w:tcW w:w="2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电源适配器</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RG-E-120</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sz w:val="24"/>
                <w:szCs w:val="24"/>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RG-E-130</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仿宋" w:hAnsi="仿宋" w:eastAsia="仿宋"/>
                <w:sz w:val="24"/>
                <w:szCs w:val="24"/>
                <w:lang w:eastAsia="zh-CN"/>
              </w:rPr>
            </w:pPr>
            <w:r>
              <w:rPr>
                <w:rFonts w:hint="eastAsia" w:ascii="仿宋" w:hAnsi="仿宋" w:eastAsia="仿宋"/>
                <w:sz w:val="24"/>
                <w:szCs w:val="24"/>
              </w:rPr>
              <w:t>串口接口模块</w:t>
            </w:r>
          </w:p>
          <w:p>
            <w:pPr>
              <w:adjustRightInd w:val="0"/>
              <w:snapToGrid w:val="0"/>
              <w:rPr>
                <w:rFonts w:ascii="仿宋" w:hAnsi="仿宋" w:eastAsia="仿宋"/>
                <w:sz w:val="24"/>
                <w:szCs w:val="24"/>
              </w:rPr>
            </w:pPr>
            <w:r>
              <w:rPr>
                <w:rFonts w:hint="eastAsia" w:ascii="仿宋" w:hAnsi="仿宋" w:eastAsia="仿宋"/>
                <w:sz w:val="24"/>
                <w:szCs w:val="24"/>
              </w:rPr>
              <w:t>（SIC-1HS/SIC-2HS）</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RG-SIC-1HS</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vAlign w:val="center"/>
          </w:tcPr>
          <w:p>
            <w:pPr>
              <w:adjustRightInd w:val="0"/>
              <w:snapToGrid w:val="0"/>
              <w:rPr>
                <w:rFonts w:ascii="仿宋" w:hAnsi="仿宋" w:eastAsia="仿宋"/>
                <w:sz w:val="24"/>
                <w:szCs w:val="24"/>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RG-HSIC-2HS</w:t>
            </w: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70"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sz w:val="24"/>
                <w:szCs w:val="24"/>
              </w:rPr>
            </w:pPr>
            <w:r>
              <w:rPr>
                <w:rFonts w:hint="eastAsia" w:ascii="仿宋" w:hAnsi="仿宋" w:eastAsia="仿宋"/>
                <w:sz w:val="24"/>
                <w:szCs w:val="24"/>
              </w:rPr>
              <w:t>串口线缆（CAB-V.35DTE/V.35DCE）</w:t>
            </w:r>
          </w:p>
        </w:tc>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CAB-V.35DTE</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条</w:t>
            </w: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万兆模块（XG-SFP）</w:t>
            </w:r>
          </w:p>
        </w:tc>
        <w:tc>
          <w:tcPr>
            <w:tcW w:w="23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XG-SFP-CU1M</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块</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285" w:hRule="atLeast"/>
        </w:trPr>
        <w:tc>
          <w:tcPr>
            <w:tcW w:w="7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4"/>
                <w:szCs w:val="24"/>
              </w:rPr>
            </w:pPr>
          </w:p>
        </w:tc>
        <w:tc>
          <w:tcPr>
            <w:tcW w:w="1295"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p>
        </w:tc>
        <w:tc>
          <w:tcPr>
            <w:tcW w:w="2391"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配置线缆</w:t>
            </w:r>
          </w:p>
        </w:tc>
        <w:tc>
          <w:tcPr>
            <w:tcW w:w="2337"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配置线缆</w:t>
            </w:r>
          </w:p>
        </w:tc>
        <w:tc>
          <w:tcPr>
            <w:tcW w:w="7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条</w:t>
            </w:r>
          </w:p>
        </w:tc>
        <w:tc>
          <w:tcPr>
            <w:tcW w:w="84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mc:AlternateContent>
          <mc:Choice Requires="wps">
            <w:drawing>
              <wp:anchor distT="0" distB="0" distL="114300" distR="114300" simplePos="0" relativeHeight="251661312" behindDoc="1" locked="0" layoutInCell="0" allowOverlap="1">
                <wp:simplePos x="0" y="0"/>
                <wp:positionH relativeFrom="column">
                  <wp:posOffset>3615690</wp:posOffset>
                </wp:positionH>
                <wp:positionV relativeFrom="paragraph">
                  <wp:posOffset>-4844415</wp:posOffset>
                </wp:positionV>
                <wp:extent cx="1310640" cy="0"/>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381.45pt;height:0pt;width:103.2pt;z-index:-251655168;mso-width-relative:page;mso-height-relative:page;" filled="f" stroked="t" coordsize="21600,21600" o:allowincell="f" o:gfxdata="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RhynZAAAADQEAAA8AAAAAAAAAAQAgAAAAIgAAAGRycy9kb3ducmV2LnhtbFBLAQIUABQA&#10;AAAIAIdO4kC0mMfP7wEAAMUDAAAOAAAAAAAAAAEAIAAAACgBAABkcnMvZTJvRG9jLnhtbFBLBQYA&#10;AAAABgAGAFkBAACJ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2336" behindDoc="1" locked="0" layoutInCell="0" allowOverlap="1">
                <wp:simplePos x="0" y="0"/>
                <wp:positionH relativeFrom="column">
                  <wp:posOffset>3615690</wp:posOffset>
                </wp:positionH>
                <wp:positionV relativeFrom="paragraph">
                  <wp:posOffset>-4632325</wp:posOffset>
                </wp:positionV>
                <wp:extent cx="1310640" cy="0"/>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364.75pt;height:0pt;width:103.2pt;z-index:-251654144;mso-width-relative:page;mso-height-relative:page;" filled="f" stroked="t" coordsize="21600,21600" o:allowincell="f" o:gfxdata="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R1R/ZAAAADQEAAA8AAAAAAAAAAQAgAAAAIgAAAGRycy9kb3ducmV2LnhtbFBLAQIUABQAAAAI&#10;AIdO4kATo0pK7AEAAMUDAAAOAAAAAAAAAAEAIAAAACgBAABkcnMvZTJvRG9jLnhtbFBLBQYAAAAA&#10;BgAGAFkBAACG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3360" behindDoc="1" locked="0" layoutInCell="0" allowOverlap="1">
                <wp:simplePos x="0" y="0"/>
                <wp:positionH relativeFrom="column">
                  <wp:posOffset>3615690</wp:posOffset>
                </wp:positionH>
                <wp:positionV relativeFrom="paragraph">
                  <wp:posOffset>-1783715</wp:posOffset>
                </wp:positionV>
                <wp:extent cx="131064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20">
                          <a:solidFill>
                            <a:srgbClr val="FFFFFF"/>
                          </a:solidFill>
                          <a:prstDash val="solid"/>
                          <a:round/>
                        </a:ln>
                      </wps:spPr>
                      <wps:bodyPr/>
                    </wps:wsp>
                  </a:graphicData>
                </a:graphic>
              </wp:anchor>
            </w:drawing>
          </mc:Choice>
          <mc:Fallback>
            <w:pict>
              <v:line id="_x0000_s1026" o:spid="_x0000_s1026" o:spt="20" style="position:absolute;left:0pt;margin-left:284.7pt;margin-top:-140.45pt;height:0pt;width:103.2pt;z-index:-251653120;mso-width-relative:page;mso-height-relative:page;" filled="f" stroked="t" coordsize="21600,21600" o:allowincell="f" o:gfxdata="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gf5L2gAAAA0BAAAPAAAAAAAAAAEAIAAAACIAAABkcnMvZG93bnJldi54bWxQSwECFAAU&#10;AAAACACHTuJAoqj8G+8BAADFAwAADgAAAAAAAAABACAAAAApAQAAZHJzL2Uyb0RvYy54bWxQSwUG&#10;AAAAAAYABgBZAQAAigUAAAAA&#10;">
                <v:fill on="f" focussize="0,0"/>
                <v:stroke weight="0.6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4384" behindDoc="1" locked="0" layoutInCell="0" allowOverlap="1">
                <wp:simplePos x="0" y="0"/>
                <wp:positionH relativeFrom="column">
                  <wp:posOffset>3615690</wp:posOffset>
                </wp:positionH>
                <wp:positionV relativeFrom="paragraph">
                  <wp:posOffset>-1489710</wp:posOffset>
                </wp:positionV>
                <wp:extent cx="131064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19">
                          <a:solidFill>
                            <a:srgbClr val="FFFFFF"/>
                          </a:solidFill>
                          <a:prstDash val="solid"/>
                          <a:round/>
                        </a:ln>
                      </wps:spPr>
                      <wps:bodyPr/>
                    </wps:wsp>
                  </a:graphicData>
                </a:graphic>
              </wp:anchor>
            </w:drawing>
          </mc:Choice>
          <mc:Fallback>
            <w:pict>
              <v:line id="_x0000_s1026" o:spid="_x0000_s1026" o:spt="20" style="position:absolute;left:0pt;margin-left:284.7pt;margin-top:-117.3pt;height:0pt;width:103.2pt;z-index:-251652096;mso-width-relative:page;mso-height-relative:page;" filled="f" stroked="t" coordsize="21600,21600" o:allowincell="f" o:gfxdata="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dgXTYAAAADQEAAA8AAAAAAAAAAQAgAAAAIgAAAGRycy9kb3ducmV2LnhtbFBLAQIUABQA&#10;AAAIAIdO4kCno/+g8AEAAMUDAAAOAAAAAAAAAAEAIAAAACcBAABkcnMvZTJvRG9jLnhtbFBLBQYA&#10;AAAABgAGAFkBAACJBQAAAAA=&#10;">
                <v:fill on="f" focussize="0,0"/>
                <v:stroke weight="0.59992125984252pt" color="#FFFFFF" joinstyle="round"/>
                <v:imagedata o:title=""/>
                <o:lock v:ext="edit" aspectratio="f"/>
              </v:line>
            </w:pict>
          </mc:Fallback>
        </mc:AlternateContent>
      </w:r>
      <w:r>
        <w:rPr>
          <w:rFonts w:hint="eastAsia" w:ascii="仿宋" w:hAnsi="Calibri" w:eastAsia="仿宋" w:cs="Arial"/>
          <w:b/>
          <w:bCs/>
          <w:sz w:val="28"/>
        </w:rPr>
        <mc:AlternateContent>
          <mc:Choice Requires="wps">
            <w:drawing>
              <wp:anchor distT="0" distB="0" distL="114300" distR="114300" simplePos="0" relativeHeight="251665408" behindDoc="1" locked="0" layoutInCell="0" allowOverlap="1">
                <wp:simplePos x="0" y="0"/>
                <wp:positionH relativeFrom="column">
                  <wp:posOffset>3615690</wp:posOffset>
                </wp:positionH>
                <wp:positionV relativeFrom="paragraph">
                  <wp:posOffset>-1196975</wp:posOffset>
                </wp:positionV>
                <wp:extent cx="131064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7620">
                          <a:solidFill>
                            <a:srgbClr val="FFFFFF"/>
                          </a:solidFill>
                          <a:prstDash val="solid"/>
                          <a:round/>
                        </a:ln>
                      </wps:spPr>
                      <wps:bodyPr/>
                    </wps:wsp>
                  </a:graphicData>
                </a:graphic>
              </wp:anchor>
            </w:drawing>
          </mc:Choice>
          <mc:Fallback>
            <w:pict>
              <v:line id="_x0000_s1026" o:spid="_x0000_s1026" o:spt="20" style="position:absolute;left:0pt;margin-left:284.7pt;margin-top:-94.25pt;height:0pt;width:103.2pt;z-index:-251651072;mso-width-relative:page;mso-height-relative:page;" filled="f" stroked="t" coordsize="21600,21600" o:allowincell="f" o:gfxdata="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N1xnZAAAADQEAAA8AAAAAAAAAAQAgAAAAIgAAAGRycy9kb3ducmV2LnhtbFBLAQIUABQA&#10;AAAIAIdO4kAWqEnx7wEAAMUDAAAOAAAAAAAAAAEAIAAAACgBAABkcnMvZTJvRG9jLnhtbFBLBQYA&#10;AAAABgAGAFkBAACJBQAAAAA=&#10;">
                <v:fill on="f" focussize="0,0"/>
                <v:stroke weight="0.6pt" color="#FFFFFF" joinstyle="round"/>
                <v:imagedata o:title=""/>
                <o:lock v:ext="edit" aspectratio="f"/>
              </v:line>
            </w:pict>
          </mc:Fallback>
        </mc:AlternateContent>
      </w:r>
      <w:r>
        <w:rPr>
          <w:rFonts w:hint="eastAsia" w:ascii="仿宋" w:hAnsi="Calibri" w:eastAsia="仿宋" w:cs="Arial"/>
          <w:b/>
          <w:bCs/>
          <w:sz w:val="28"/>
        </w:rPr>
        <w:t>（二）材料及软件</w:t>
      </w:r>
    </w:p>
    <w:tbl>
      <w:tblPr>
        <w:tblStyle w:val="8"/>
        <w:tblW w:w="8580" w:type="dxa"/>
        <w:tblInd w:w="113" w:type="dxa"/>
        <w:tblLayout w:type="autofit"/>
        <w:tblCellMar>
          <w:top w:w="0" w:type="dxa"/>
          <w:left w:w="108" w:type="dxa"/>
          <w:bottom w:w="0" w:type="dxa"/>
          <w:right w:w="108" w:type="dxa"/>
        </w:tblCellMar>
      </w:tblPr>
      <w:tblGrid>
        <w:gridCol w:w="1080"/>
        <w:gridCol w:w="2420"/>
        <w:gridCol w:w="2920"/>
        <w:gridCol w:w="108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软件名称</w:t>
            </w:r>
          </w:p>
        </w:tc>
        <w:tc>
          <w:tcPr>
            <w:tcW w:w="29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版本</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数量</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VMware workstation</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15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Debian Linux</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10 以上(BLBD 版)</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Windows Server 2019</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Datacenter 版</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Windows 10</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EnterPrise</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VPNClient</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OPENVPN 2.4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Zabbix-Agent</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Zabbix-Agent 3.4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Office</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2013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Putty</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0.7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9</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Folder2iso</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3.1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Tftpd</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Version 4.6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11</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无线地勘系统</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无线地勘系统</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12</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解压缩软件</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RAR4.0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13</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PDF 阅读器</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Adobe Reader X1 11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14</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网络调试工具</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SercureCRT8.1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15</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截图工具</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FScapture6.5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16</w:t>
            </w:r>
          </w:p>
        </w:tc>
        <w:tc>
          <w:tcPr>
            <w:tcW w:w="24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FTP 客户端</w:t>
            </w:r>
          </w:p>
        </w:tc>
        <w:tc>
          <w:tcPr>
            <w:tcW w:w="2920"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FlashFXP5.4 以上</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套</w:t>
            </w:r>
          </w:p>
        </w:tc>
        <w:tc>
          <w:tcPr>
            <w:tcW w:w="108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r>
    </w:tbl>
    <w:p>
      <w:pPr>
        <w:adjustRightInd w:val="0"/>
        <w:snapToGrid w:val="0"/>
        <w:spacing w:line="360" w:lineRule="auto"/>
        <w:ind w:firstLine="562" w:firstLineChars="200"/>
        <w:rPr>
          <w:rFonts w:hint="eastAsia" w:ascii="仿宋" w:hAnsi="Calibri" w:eastAsia="仿宋" w:cs="Arial"/>
          <w:b/>
          <w:bCs/>
          <w:sz w:val="28"/>
        </w:rPr>
      </w:pPr>
      <w:bookmarkStart w:id="8" w:name="page26"/>
      <w:bookmarkEnd w:id="8"/>
      <w:r>
        <w:rPr>
          <w:rFonts w:hint="eastAsia" w:ascii="仿宋" w:hAnsi="Calibri" w:eastAsia="仿宋" w:cs="Arial"/>
          <w:b/>
          <w:bCs/>
          <w:sz w:val="28"/>
          <w:lang w:val="en-US" w:eastAsia="zh-CN"/>
        </w:rPr>
        <w:t>九</w:t>
      </w:r>
      <w:r>
        <w:rPr>
          <w:rFonts w:hint="eastAsia" w:ascii="仿宋" w:hAnsi="Calibri" w:eastAsia="仿宋" w:cs="Arial"/>
          <w:b/>
          <w:bCs/>
          <w:sz w:val="28"/>
          <w:lang w:eastAsia="zh-CN"/>
        </w:rPr>
        <w:t>、</w:t>
      </w:r>
      <w:r>
        <w:rPr>
          <w:rFonts w:hint="eastAsia" w:ascii="仿宋" w:hAnsi="Calibri" w:eastAsia="仿宋" w:cs="Arial"/>
          <w:b/>
          <w:bCs/>
          <w:sz w:val="28"/>
          <w:lang w:val="en-US" w:eastAsia="zh-CN"/>
        </w:rPr>
        <w:t>评分办法</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（一）评分原则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 客观性结果评分原则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采用与行业真实项目相对接，不仅检查命令和过程配置，还需要检测功能点是否实现。客观性结果评分依据目标功能实现的 Show 状态信息、Web 截图状态以及功能性的状态测试进行，示例分别如图 2、图 3、图 4 所示。通过对结果进行客观性评分，深入考察学生对重要功能的理解是否深入，规避死记硬背，以此更能突显赛项过程与真实工作接轨的目的。</w:t>
      </w:r>
      <w:bookmarkStart w:id="9" w:name="page27"/>
      <w:bookmarkEnd w:id="9"/>
    </w:p>
    <w:p>
      <w:pPr>
        <w:adjustRightInd w:val="0"/>
        <w:snapToGrid w:val="0"/>
        <w:rPr>
          <w:rFonts w:ascii="仿宋" w:hAnsi="仿宋" w:eastAsia="仿宋"/>
          <w:sz w:val="27"/>
        </w:rPr>
      </w:pPr>
      <w:r>
        <w:rPr>
          <w:rFonts w:hint="eastAsia" w:ascii="仿宋" w:hAnsi="仿宋" w:eastAsia="仿宋"/>
          <w:sz w:val="27"/>
        </w:rPr>
        <w:drawing>
          <wp:inline distT="0" distB="0" distL="0" distR="0">
            <wp:extent cx="5274310" cy="1856105"/>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1856105"/>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2：依据设备功能实现的 Show 状态信息</w:t>
      </w:r>
    </w:p>
    <w:p>
      <w:pPr>
        <w:adjustRightInd w:val="0"/>
        <w:snapToGrid w:val="0"/>
        <w:jc w:val="center"/>
        <w:rPr>
          <w:rFonts w:ascii="仿宋" w:hAnsi="仿宋" w:eastAsia="仿宋"/>
          <w:sz w:val="27"/>
        </w:rPr>
      </w:pPr>
      <w:r>
        <w:rPr>
          <w:rFonts w:hint="eastAsia" w:ascii="仿宋" w:hAnsi="仿宋" w:eastAsia="仿宋"/>
          <w:sz w:val="27"/>
        </w:rPr>
        <w:drawing>
          <wp:inline distT="0" distB="0" distL="0" distR="0">
            <wp:extent cx="5075555" cy="2417445"/>
            <wp:effectExtent l="0" t="0" r="1079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75555" cy="2417445"/>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3：依据设备功能实现的 Web 截图状态</w:t>
      </w:r>
    </w:p>
    <w:p>
      <w:pPr>
        <w:adjustRightInd w:val="0"/>
        <w:snapToGrid w:val="0"/>
        <w:jc w:val="center"/>
        <w:rPr>
          <w:rFonts w:ascii="仿宋" w:hAnsi="仿宋" w:eastAsia="仿宋"/>
          <w:sz w:val="27"/>
        </w:rPr>
      </w:pPr>
      <w:r>
        <w:rPr>
          <w:rFonts w:ascii="仿宋" w:hAnsi="仿宋" w:eastAsia="仿宋"/>
          <w:sz w:val="27"/>
        </w:rPr>
        <w:drawing>
          <wp:inline distT="0" distB="0" distL="0" distR="0">
            <wp:extent cx="4316730" cy="2374900"/>
            <wp:effectExtent l="0" t="0" r="762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6730" cy="2374900"/>
                    </a:xfrm>
                    <a:prstGeom prst="rect">
                      <a:avLst/>
                    </a:prstGeom>
                    <a:noFill/>
                    <a:ln>
                      <a:noFill/>
                    </a:ln>
                  </pic:spPr>
                </pic:pic>
              </a:graphicData>
            </a:graphic>
          </wp:inline>
        </w:drawing>
      </w:r>
    </w:p>
    <w:p>
      <w:pPr>
        <w:adjustRightInd w:val="0"/>
        <w:snapToGrid w:val="0"/>
        <w:jc w:val="center"/>
        <w:rPr>
          <w:rFonts w:ascii="仿宋" w:hAnsi="仿宋" w:eastAsia="仿宋"/>
          <w:sz w:val="27"/>
        </w:rPr>
      </w:pPr>
      <w:r>
        <w:rPr>
          <w:rFonts w:ascii="仿宋" w:hAnsi="仿宋" w:eastAsia="仿宋"/>
          <w:sz w:val="27"/>
        </w:rPr>
        <w:t>图 4：网络连通功能性状态测试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 答题卡样例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答题卡样例按照选手对应题目功能配置的实现过程的截图进行评分，具体评分样表如下。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ServerA 的配置要求（26 分）</w:t>
      </w:r>
    </w:p>
    <w:tbl>
      <w:tblPr>
        <w:tblStyle w:val="8"/>
        <w:tblW w:w="8642" w:type="dxa"/>
        <w:tblInd w:w="113" w:type="dxa"/>
        <w:tblLayout w:type="autofit"/>
        <w:tblCellMar>
          <w:top w:w="0" w:type="dxa"/>
          <w:left w:w="108" w:type="dxa"/>
          <w:bottom w:w="0" w:type="dxa"/>
          <w:right w:w="108" w:type="dxa"/>
        </w:tblCellMar>
      </w:tblPr>
      <w:tblGrid>
        <w:gridCol w:w="704"/>
        <w:gridCol w:w="7088"/>
        <w:gridCol w:w="850"/>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序号</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b/>
                <w:bCs/>
                <w:sz w:val="24"/>
                <w:szCs w:val="24"/>
              </w:rPr>
            </w:pPr>
            <w:r>
              <w:rPr>
                <w:rFonts w:hint="eastAsia" w:ascii="仿宋" w:hAnsi="仿宋" w:eastAsia="仿宋"/>
                <w:b/>
                <w:bCs/>
                <w:sz w:val="24"/>
                <w:szCs w:val="24"/>
              </w:rPr>
              <w:t>评分内容及要求</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b/>
                <w:bCs/>
                <w:sz w:val="24"/>
                <w:szCs w:val="24"/>
              </w:rPr>
            </w:pPr>
            <w:r>
              <w:rPr>
                <w:rFonts w:hint="eastAsia" w:ascii="仿宋" w:hAnsi="仿宋" w:eastAsia="仿宋"/>
                <w:b/>
                <w:bCs/>
                <w:sz w:val="24"/>
                <w:szCs w:val="24"/>
              </w:rPr>
              <w:t>分值</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mount | grep mnt 命令查看 iso 文件挂载状况，截图。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cat /etc/yum.repos.d/local.repo 查看本地 yum 源配置，截图。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vgdisplay datastore 和 lvdisplay /dev/mapper/datastore-database查看lvm信息，截图。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blkid /dev/mapper/datastore-database 命令获取 UUID 值，截图；使用 cat命令查看/etc/fstab 文件内容，截图。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Cs w:val="13"/>
              </w:rPr>
            </w:pPr>
            <w:r>
              <w:rPr>
                <w:rFonts w:hint="eastAsia" w:ascii="仿宋" w:hAnsi="仿宋" w:eastAsia="仿宋"/>
                <w:szCs w:val="13"/>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Cs w:val="13"/>
              </w:rPr>
            </w:pPr>
            <w:r>
              <w:rPr>
                <w:rFonts w:hint="eastAsia" w:ascii="仿宋" w:hAnsi="仿宋" w:eastAsia="仿宋"/>
                <w:szCs w:val="13"/>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Cs w:val="13"/>
              </w:rPr>
            </w:pPr>
            <w:r>
              <w:rPr>
                <w:rFonts w:hint="eastAsia" w:ascii="仿宋" w:hAnsi="仿宋" w:eastAsia="仿宋"/>
                <w:szCs w:val="13"/>
              </w:rPr>
              <w:t>　</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仿宋" w:hAnsi="仿宋" w:eastAsia="仿宋"/>
                <w:sz w:val="24"/>
                <w:szCs w:val="24"/>
              </w:rPr>
            </w:pPr>
            <w:r>
              <w:rPr>
                <w:rFonts w:hint="eastAsia" w:ascii="仿宋" w:hAnsi="仿宋" w:eastAsia="仿宋"/>
                <w:sz w:val="24"/>
                <w:szCs w:val="24"/>
              </w:rPr>
              <w:t>ServerA 使用 openssl x509 -in http.crt -noout -text 命令查看 WEB 证书的发布者和主题，截图</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 分</w:t>
            </w:r>
          </w:p>
        </w:tc>
      </w:tr>
      <w:tr>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等线" w:hAnsi="等线" w:eastAsia="等线" w:cs="宋体"/>
                <w:color w:val="000000"/>
                <w:szCs w:val="13"/>
              </w:rPr>
            </w:pPr>
            <w:r>
              <w:rPr>
                <w:rFonts w:hint="eastAsia" w:ascii="等线" w:hAnsi="等线" w:eastAsia="等线" w:cs="宋体"/>
                <w:color w:val="000000"/>
                <w:szCs w:val="13"/>
              </w:rPr>
              <w:t>　</w:t>
            </w:r>
          </w:p>
        </w:tc>
        <w:tc>
          <w:tcPr>
            <w:tcW w:w="7088"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等线" w:hAnsi="等线" w:eastAsia="等线" w:cs="宋体"/>
                <w:color w:val="000000"/>
                <w:szCs w:val="13"/>
              </w:rPr>
            </w:pPr>
            <w:r>
              <w:rPr>
                <w:rFonts w:hint="eastAsia" w:ascii="等线" w:hAnsi="等线" w:eastAsia="等线" w:cs="宋体"/>
                <w:color w:val="000000"/>
                <w:szCs w:val="13"/>
              </w:rPr>
              <w:t>　</w:t>
            </w:r>
          </w:p>
        </w:tc>
        <w:tc>
          <w:tcPr>
            <w:tcW w:w="85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等线" w:hAnsi="等线" w:eastAsia="等线" w:cs="宋体"/>
                <w:color w:val="000000"/>
                <w:szCs w:val="13"/>
              </w:rPr>
            </w:pPr>
            <w:r>
              <w:rPr>
                <w:rFonts w:hint="eastAsia" w:ascii="等线" w:hAnsi="等线" w:eastAsia="等线" w:cs="宋体"/>
                <w:color w:val="000000"/>
                <w:szCs w:val="13"/>
              </w:rPr>
              <w:t>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bookmarkStart w:id="10" w:name="page28"/>
      <w:bookmarkEnd w:id="10"/>
      <w:r>
        <w:rPr>
          <w:rFonts w:hint="eastAsia" w:ascii="仿宋" w:hAnsi="Calibri" w:eastAsia="仿宋" w:cs="Arial"/>
          <w:sz w:val="28"/>
        </w:rPr>
        <w:t>3.三次加密原则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比赛过程采取三次加密，通过抽取参赛编号、工位号和竞赛成果号，屏蔽参赛队信息，每个环节设置一名独立裁判，每个环节结束后，数据立即封存于裁判长处，加密裁判直接隔离，确保成绩评定公平、公正。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 独立评分原则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根据裁判分工，负责相同模块评分工作的不同裁判，采取随机抽签独立评分，确保成绩评定严谨、客观、准确。裁判进行随机抽签分组，杜绝主观意愿组队，各自完全独立评分，裁判员间互不干涉，比赛督察员可随机监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5.错误不传递原则各环节分别计算得分，错误不传递，按规定比例计入选手总分。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6.抽查复核原则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（1）为保障成绩评判的准确性，督察组对赛项总成绩排名前30%</w:t>
      </w:r>
      <w:bookmarkStart w:id="11" w:name="page29"/>
      <w:bookmarkEnd w:id="11"/>
      <w:r>
        <w:rPr>
          <w:rFonts w:hint="eastAsia" w:ascii="仿宋" w:hAnsi="Calibri" w:eastAsia="仿宋" w:cs="Arial"/>
          <w:sz w:val="28"/>
        </w:rPr>
        <w:t>的所有参赛队伍（选手）的成绩进行复核；对其余成绩进行抽检复核，抽检覆盖率不得低于15%。</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（2）督察组需将复检中发现的错误以书面方式及时告知裁判长，由裁判长更正成绩并签字确认。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（3）复核、抽检错误率超过5%的，则认定为非小概率事件，裁判组需对所有成绩进行复核。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Calibri" w:eastAsia="仿宋" w:cs="Arial"/>
          <w:b/>
          <w:bCs/>
          <w:sz w:val="28"/>
        </w:rPr>
      </w:pPr>
      <w:r>
        <w:rPr>
          <w:rFonts w:hint="eastAsia" w:ascii="仿宋" w:hAnsi="Calibri" w:eastAsia="仿宋" w:cs="Arial"/>
          <w:b/>
          <w:bCs/>
          <w:sz w:val="28"/>
        </w:rPr>
        <w:t>（二）评分方法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1.竞赛满分为1000分。最终成绩换算为100分制进行排名。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2.评分成绩=模块A+模块B+赛场规范和文档规范。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3.竞赛设置裁判长1名，裁判若干名。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竞赛采取三次加密。第一次加密裁判组织参赛选手第一次抽签，抽取参赛编号，替代选手参赛证等个人信息；第二次加密裁判组织参赛选手进行第二次抽签，确定赛位号，替换选手参赛编号；第三次加密裁判对各参赛队竞赛结果进行加密，替换赛位号。三次加密信息由不同加密裁判密封后保管，在评分结束后进行解密并统计成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5.竞赛对参赛选手提交的结果采取客观性结果评分。采取分步得分、累计总分的计分方式。各环节分别计算得分，错误不传递，按规定得分计入总分。根据赛题情况划分模块，每三名裁判负责一个模</w:t>
      </w:r>
      <w:bookmarkStart w:id="12" w:name="page30"/>
      <w:bookmarkEnd w:id="12"/>
      <w:r>
        <w:rPr>
          <w:rFonts w:hint="eastAsia" w:ascii="仿宋" w:hAnsi="Calibri" w:eastAsia="仿宋" w:cs="Arial"/>
          <w:sz w:val="28"/>
        </w:rPr>
        <w:t>块进行独立评分。裁判长在竞赛结束 8 小时内提交评分结果，经复核无误，由裁判长、督察员签字确认。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6.裁判长正式提交评分结果并复核无误后，加密裁判在督察员监督下进行三层解密：竞赛结果编号到工位号解密；工位号到参赛编号解密；参赛编号到参赛选手名解密。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7.为保障成绩评判的准确性，督察员对赛项总成绩排名前30%的所有参赛队伍的成绩进行复核；其余成绩进行抽检复核，抽检覆盖率不低于15%。</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8.督察员在复检中发现错误，需以书面形式及时告知裁判长，由裁判长更正成绩并签字确认。如复核、抽检错误率超过5%，裁判组需对所有成绩进行复核。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9.在竞赛过程中，参赛选手如有不服从裁判裁决、扰乱赛场秩序、舞弊等行为的，由裁判长按照规定扣减相应分数，情节严重的将取消比赛资格，比赛成绩计0分。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如出现参赛队总分相同情况，按照 A、B 模块顺序的得分高低排序，即总成绩相同的情况下比较B 模块的成绩，B模块成绩高的排名优先。如果 A、B各模块分值相同，则查看文档撰写规范、职业素养的分值进行排序。</w:t>
      </w:r>
    </w:p>
    <w:p>
      <w:pPr>
        <w:adjustRightInd w:val="0"/>
        <w:snapToGrid w:val="0"/>
        <w:spacing w:line="360" w:lineRule="auto"/>
        <w:ind w:firstLine="562" w:firstLineChars="200"/>
        <w:rPr>
          <w:rFonts w:hint="eastAsia" w:ascii="仿宋" w:hAnsi="Calibri" w:eastAsia="仿宋" w:cs="Arial"/>
          <w:b/>
          <w:bCs/>
          <w:sz w:val="28"/>
        </w:rPr>
      </w:pPr>
      <w:r>
        <w:rPr>
          <w:rFonts w:hint="eastAsia" w:ascii="仿宋" w:hAnsi="Calibri" w:eastAsia="仿宋" w:cs="Arial"/>
          <w:b/>
          <w:bCs/>
          <w:sz w:val="28"/>
        </w:rPr>
        <w:t>十</w:t>
      </w:r>
      <w:r>
        <w:rPr>
          <w:rFonts w:hint="eastAsia" w:ascii="仿宋" w:hAnsi="Calibri" w:eastAsia="仿宋" w:cs="Arial"/>
          <w:b/>
          <w:bCs/>
          <w:sz w:val="28"/>
          <w:lang w:eastAsia="zh-CN"/>
        </w:rPr>
        <w:t>、</w:t>
      </w:r>
      <w:r>
        <w:rPr>
          <w:rFonts w:hint="eastAsia" w:ascii="仿宋" w:hAnsi="Calibri" w:eastAsia="仿宋" w:cs="Arial"/>
          <w:b/>
          <w:bCs/>
          <w:sz w:val="28"/>
        </w:rPr>
        <w:t>奖项设定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根据参赛队竞赛成绩排名分别设立一、二、三等奖。以各赛项实际参赛队数量为基数，</w:t>
      </w:r>
      <w:r>
        <w:rPr>
          <w:rFonts w:hint="eastAsia" w:ascii="仿宋" w:hAnsi="Calibri" w:eastAsia="仿宋" w:cs="Arial"/>
          <w:sz w:val="28"/>
          <w:highlight w:val="none"/>
        </w:rPr>
        <w:t>10%设一等奖，20%设二等奖，30%设三等奖。</w:t>
      </w:r>
    </w:p>
    <w:p>
      <w:pPr>
        <w:adjustRightInd w:val="0"/>
        <w:snapToGrid w:val="0"/>
        <w:spacing w:line="360" w:lineRule="auto"/>
        <w:ind w:firstLine="562" w:firstLineChars="200"/>
        <w:rPr>
          <w:rFonts w:hint="eastAsia" w:ascii="仿宋" w:hAnsi="Calibri" w:eastAsia="仿宋" w:cs="Arial"/>
          <w:b/>
          <w:bCs/>
          <w:sz w:val="28"/>
        </w:rPr>
      </w:pPr>
      <w:bookmarkStart w:id="13" w:name="page39"/>
      <w:bookmarkEnd w:id="13"/>
      <w:r>
        <w:rPr>
          <w:rFonts w:hint="eastAsia" w:ascii="仿宋" w:hAnsi="Calibri" w:eastAsia="仿宋" w:cs="Arial"/>
          <w:b/>
          <w:bCs/>
          <w:sz w:val="28"/>
        </w:rPr>
        <w:t>十</w:t>
      </w:r>
      <w:r>
        <w:rPr>
          <w:rFonts w:hint="eastAsia" w:ascii="仿宋" w:hAnsi="Calibri" w:eastAsia="仿宋" w:cs="Arial"/>
          <w:b/>
          <w:bCs/>
          <w:sz w:val="28"/>
          <w:lang w:val="en-US" w:eastAsia="zh-CN"/>
        </w:rPr>
        <w:t>一</w:t>
      </w:r>
      <w:r>
        <w:rPr>
          <w:rFonts w:hint="eastAsia" w:ascii="仿宋" w:hAnsi="Calibri" w:eastAsia="仿宋" w:cs="Arial"/>
          <w:b/>
          <w:bCs/>
          <w:sz w:val="28"/>
          <w:lang w:eastAsia="zh-CN"/>
        </w:rPr>
        <w:t>、</w:t>
      </w:r>
      <w:r>
        <w:rPr>
          <w:rFonts w:hint="eastAsia" w:ascii="仿宋" w:hAnsi="Calibri" w:eastAsia="仿宋" w:cs="Arial"/>
          <w:b/>
          <w:bCs/>
          <w:sz w:val="28"/>
        </w:rPr>
        <w:t>申诉与仲裁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1.各参赛队对不符合赛项规程规定的仪器、设备、工装、材料、物件、计算机软硬件、竞赛使用工具、用品，竞赛执裁、赛场管理、竞赛成绩，以及工作人员的不规范行为等，可向赛项仲裁组提出申诉，申诉主体为参赛队领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2.申诉启动时，参赛队向赛项仲裁组递交领队亲笔签字同意的书面报告。书面报告应对申诉事件的现象、发生时间、涉及人员、申诉依据等进行充分、实事求是的叙述。非书面申诉不予受理。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3.提出申诉的时间应在比赛结束后(选手赛场比赛内容全部完成)2 小时内。超过时效不予受理。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4.赛项仲裁组在接到申诉报告后的 2 小时内组织复议，并及时将复议结果以书面形式告知申诉方。申诉方对复议结果仍有异议，可由领队向比赛监督员提出申诉，由监督员传达最终仲裁结果。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5.申诉方不得以任何理由拒绝接收仲裁结果，不得以任何理由采取过激行为扰乱赛场秩序。仲裁结果由申诉人签收，不能代收，如在约定时间和地点申诉人离开，视为自行放弃申诉。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rPr>
      </w:pPr>
      <w:r>
        <w:rPr>
          <w:rFonts w:hint="eastAsia" w:ascii="仿宋" w:hAnsi="Calibri" w:eastAsia="仿宋" w:cs="Arial"/>
          <w:sz w:val="28"/>
        </w:rPr>
        <w:t>6.申诉方可随时提出放弃申诉。</w:t>
      </w:r>
    </w:p>
    <w:p>
      <w:pPr>
        <w:adjustRightInd w:val="0"/>
        <w:snapToGrid w:val="0"/>
        <w:spacing w:line="360" w:lineRule="auto"/>
        <w:ind w:firstLine="562" w:firstLineChars="200"/>
        <w:rPr>
          <w:rFonts w:hint="eastAsia" w:ascii="仿宋" w:hAnsi="Calibri" w:eastAsia="仿宋" w:cs="Arial"/>
          <w:b/>
          <w:bCs/>
          <w:sz w:val="28"/>
          <w:lang w:val="en-US" w:eastAsia="zh-CN"/>
        </w:rPr>
      </w:pPr>
      <w:r>
        <w:rPr>
          <w:rFonts w:hint="eastAsia" w:ascii="仿宋" w:hAnsi="Calibri" w:eastAsia="仿宋" w:cs="Arial"/>
          <w:b/>
          <w:bCs/>
          <w:sz w:val="28"/>
          <w:lang w:val="en-US" w:eastAsia="zh-CN"/>
        </w:rPr>
        <w:t>十二、赛项安全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赛项安全一切工作顺利开展的先决条件，是本赛项筹备和运行工作必须考虑的核心问题。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（一）组织机构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1.成立赛项安全保障小组，由承办院校主抓安全的校领导、学生工作处、后勤处、保卫处、合作企业技术工程师等相关人员组成。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2.与地方行政、交通、司法、安全、消防、卫生、食品、质检等相关部门建立协调机制，制定应急预案，及时处置突发事件，保证比赛安全进行。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（二）组队责任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1.各学校组织代表队时，须安排为参赛选手购买大赛期间的人身意外伤害保险。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Calibri" w:eastAsia="仿宋" w:cs="Arial"/>
          <w:sz w:val="28"/>
          <w:lang w:val="en-US" w:eastAsia="zh-CN"/>
        </w:rPr>
      </w:pPr>
      <w:r>
        <w:rPr>
          <w:rFonts w:hint="eastAsia" w:ascii="仿宋" w:hAnsi="Calibri" w:eastAsia="仿宋" w:cs="Arial"/>
          <w:sz w:val="28"/>
          <w:lang w:val="en-US" w:eastAsia="zh-CN"/>
        </w:rPr>
        <w:t>（三）疫情防控要求</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各参赛队伍须全面落实“外防输入、内防反弹”的总体疫情防控要求，做好常态化疫情防控形势下，根据甘肃省职业院校技能大赛的新冠疫情防控保障要求，严格落实甘肃省职业院校技能大赛组织方的疫情防控主体责任，坚持人物同防、多病共防，巩固联防联控、群防群治工作局面，精准预防，做到责任到位、保障到位、措施到位、及时掌握疫情防控动态，做好突发应急处置，确保赛事的平稳有序开展，安全顺利完成。</w:t>
      </w:r>
      <w:r>
        <w:rPr>
          <w:rFonts w:hint="eastAsia" w:ascii="仿宋_GB2312" w:hAnsi="ˎ̥" w:eastAsia="仿宋_GB2312" w:cs="宋体"/>
          <w:color w:val="000000"/>
          <w:spacing w:val="-21"/>
          <w:kern w:val="0"/>
          <w:sz w:val="32"/>
          <w:szCs w:val="32"/>
          <w:shd w:val="clear" w:color="auto" w:fill="FFFFFF"/>
          <w:lang w:val="en-US" w:eastAsia="zh-CN"/>
        </w:rPr>
        <w:t xml:space="preserve">   </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55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4F71"/>
    <w:multiLevelType w:val="singleLevel"/>
    <w:tmpl w:val="3AA84F71"/>
    <w:lvl w:ilvl="0" w:tentative="0">
      <w:start w:val="3"/>
      <w:numFmt w:val="chineseCounting"/>
      <w:suff w:val="nothing"/>
      <w:lvlText w:val="%1、"/>
      <w:lvlJc w:val="left"/>
      <w:rPr>
        <w:rFonts w:hint="eastAsia"/>
      </w:rPr>
    </w:lvl>
  </w:abstractNum>
  <w:abstractNum w:abstractNumId="1">
    <w:nsid w:val="478B9AE0"/>
    <w:multiLevelType w:val="singleLevel"/>
    <w:tmpl w:val="478B9AE0"/>
    <w:lvl w:ilvl="0" w:tentative="0">
      <w:start w:val="6"/>
      <w:numFmt w:val="chineseCounting"/>
      <w:suff w:val="nothing"/>
      <w:lvlText w:val="%1、"/>
      <w:lvlJc w:val="left"/>
      <w:rPr>
        <w:rFonts w:hint="eastAsia"/>
      </w:rPr>
    </w:lvl>
  </w:abstractNum>
  <w:abstractNum w:abstractNumId="2">
    <w:nsid w:val="71759DD0"/>
    <w:multiLevelType w:val="singleLevel"/>
    <w:tmpl w:val="71759DD0"/>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3"/>
    <w:rsid w:val="00086902"/>
    <w:rsid w:val="000B57C8"/>
    <w:rsid w:val="000D4FC3"/>
    <w:rsid w:val="001115F8"/>
    <w:rsid w:val="00124CC6"/>
    <w:rsid w:val="00141CCD"/>
    <w:rsid w:val="00150854"/>
    <w:rsid w:val="001B5EF5"/>
    <w:rsid w:val="00202074"/>
    <w:rsid w:val="002143ED"/>
    <w:rsid w:val="0028439B"/>
    <w:rsid w:val="00303F9C"/>
    <w:rsid w:val="00314AFC"/>
    <w:rsid w:val="003C0AF1"/>
    <w:rsid w:val="00407278"/>
    <w:rsid w:val="00427471"/>
    <w:rsid w:val="00434D6B"/>
    <w:rsid w:val="004961ED"/>
    <w:rsid w:val="004A739B"/>
    <w:rsid w:val="004D378A"/>
    <w:rsid w:val="004E2121"/>
    <w:rsid w:val="004E34EE"/>
    <w:rsid w:val="004F04B3"/>
    <w:rsid w:val="00501431"/>
    <w:rsid w:val="00503D36"/>
    <w:rsid w:val="00516AC9"/>
    <w:rsid w:val="00543BF1"/>
    <w:rsid w:val="00587554"/>
    <w:rsid w:val="00592DE9"/>
    <w:rsid w:val="005C6837"/>
    <w:rsid w:val="005C7558"/>
    <w:rsid w:val="005F500D"/>
    <w:rsid w:val="00611043"/>
    <w:rsid w:val="00612F50"/>
    <w:rsid w:val="00690EE6"/>
    <w:rsid w:val="006C4889"/>
    <w:rsid w:val="006C6EB5"/>
    <w:rsid w:val="006D28FA"/>
    <w:rsid w:val="006D520E"/>
    <w:rsid w:val="006D7766"/>
    <w:rsid w:val="006E2E28"/>
    <w:rsid w:val="00744505"/>
    <w:rsid w:val="008305C0"/>
    <w:rsid w:val="00836D95"/>
    <w:rsid w:val="00841686"/>
    <w:rsid w:val="00843E66"/>
    <w:rsid w:val="00857269"/>
    <w:rsid w:val="0087392F"/>
    <w:rsid w:val="0094043F"/>
    <w:rsid w:val="00984AD2"/>
    <w:rsid w:val="009A375D"/>
    <w:rsid w:val="009E5A3E"/>
    <w:rsid w:val="00A652E6"/>
    <w:rsid w:val="00AD6440"/>
    <w:rsid w:val="00AD734B"/>
    <w:rsid w:val="00AE02E2"/>
    <w:rsid w:val="00AF34AB"/>
    <w:rsid w:val="00B54E9B"/>
    <w:rsid w:val="00BD7B0F"/>
    <w:rsid w:val="00BF1E15"/>
    <w:rsid w:val="00C81383"/>
    <w:rsid w:val="00CD08DF"/>
    <w:rsid w:val="00CE6B58"/>
    <w:rsid w:val="00CF4EE3"/>
    <w:rsid w:val="00D048B0"/>
    <w:rsid w:val="00D26523"/>
    <w:rsid w:val="00D3682D"/>
    <w:rsid w:val="00D75693"/>
    <w:rsid w:val="00D86544"/>
    <w:rsid w:val="00DA1F83"/>
    <w:rsid w:val="00DB2050"/>
    <w:rsid w:val="00DC0BFD"/>
    <w:rsid w:val="00DC76E1"/>
    <w:rsid w:val="00DD0088"/>
    <w:rsid w:val="00E56357"/>
    <w:rsid w:val="00E93BDC"/>
    <w:rsid w:val="00EB0836"/>
    <w:rsid w:val="00F5129B"/>
    <w:rsid w:val="00F5540B"/>
    <w:rsid w:val="00FE5552"/>
    <w:rsid w:val="059D3E45"/>
    <w:rsid w:val="05B70DC5"/>
    <w:rsid w:val="05F32208"/>
    <w:rsid w:val="064E1A29"/>
    <w:rsid w:val="088854F3"/>
    <w:rsid w:val="09BA6DFC"/>
    <w:rsid w:val="0B56060A"/>
    <w:rsid w:val="0B6934D3"/>
    <w:rsid w:val="0B7F42B8"/>
    <w:rsid w:val="0CE560D5"/>
    <w:rsid w:val="0CFF13C8"/>
    <w:rsid w:val="0EA90F83"/>
    <w:rsid w:val="11CA0721"/>
    <w:rsid w:val="14A765D2"/>
    <w:rsid w:val="15B25857"/>
    <w:rsid w:val="18CF2EE6"/>
    <w:rsid w:val="1A806E16"/>
    <w:rsid w:val="1B177CDA"/>
    <w:rsid w:val="1B3A7897"/>
    <w:rsid w:val="1BA40901"/>
    <w:rsid w:val="1D900B46"/>
    <w:rsid w:val="1E2144D8"/>
    <w:rsid w:val="1F9C67E2"/>
    <w:rsid w:val="2027569E"/>
    <w:rsid w:val="202E5CF8"/>
    <w:rsid w:val="20383221"/>
    <w:rsid w:val="20760343"/>
    <w:rsid w:val="214842D5"/>
    <w:rsid w:val="25AD4003"/>
    <w:rsid w:val="25C7537C"/>
    <w:rsid w:val="267C63A8"/>
    <w:rsid w:val="273A4D51"/>
    <w:rsid w:val="276B007A"/>
    <w:rsid w:val="28540F91"/>
    <w:rsid w:val="2877136B"/>
    <w:rsid w:val="298270BF"/>
    <w:rsid w:val="2AD011C4"/>
    <w:rsid w:val="2CBA3EFF"/>
    <w:rsid w:val="2F866BFD"/>
    <w:rsid w:val="2FC239BC"/>
    <w:rsid w:val="30E46E07"/>
    <w:rsid w:val="318C5F40"/>
    <w:rsid w:val="32352A26"/>
    <w:rsid w:val="32883555"/>
    <w:rsid w:val="32F10DE1"/>
    <w:rsid w:val="33460E23"/>
    <w:rsid w:val="33B97527"/>
    <w:rsid w:val="34B93DEA"/>
    <w:rsid w:val="34C70378"/>
    <w:rsid w:val="37613EAD"/>
    <w:rsid w:val="3B9B7E74"/>
    <w:rsid w:val="3CEE0F43"/>
    <w:rsid w:val="3D1F7B3E"/>
    <w:rsid w:val="3D38328E"/>
    <w:rsid w:val="3DE3441A"/>
    <w:rsid w:val="3EA803D7"/>
    <w:rsid w:val="3FEE39B6"/>
    <w:rsid w:val="40E2598B"/>
    <w:rsid w:val="47932536"/>
    <w:rsid w:val="4AF2687B"/>
    <w:rsid w:val="4BA2138B"/>
    <w:rsid w:val="4DBA4085"/>
    <w:rsid w:val="4EA50A03"/>
    <w:rsid w:val="4F720874"/>
    <w:rsid w:val="50166065"/>
    <w:rsid w:val="504D7E78"/>
    <w:rsid w:val="53732895"/>
    <w:rsid w:val="53DC3362"/>
    <w:rsid w:val="54506EED"/>
    <w:rsid w:val="550B7FA2"/>
    <w:rsid w:val="556A37C0"/>
    <w:rsid w:val="55DE39D3"/>
    <w:rsid w:val="575E625A"/>
    <w:rsid w:val="582B27A1"/>
    <w:rsid w:val="58637E87"/>
    <w:rsid w:val="5B9017E8"/>
    <w:rsid w:val="5BAB7688"/>
    <w:rsid w:val="5D9149F1"/>
    <w:rsid w:val="60966979"/>
    <w:rsid w:val="60A53DEF"/>
    <w:rsid w:val="616A0B06"/>
    <w:rsid w:val="634B357A"/>
    <w:rsid w:val="63CE78CF"/>
    <w:rsid w:val="659320BE"/>
    <w:rsid w:val="670B215B"/>
    <w:rsid w:val="673203C2"/>
    <w:rsid w:val="67B77F04"/>
    <w:rsid w:val="6CAF270E"/>
    <w:rsid w:val="6D616F3B"/>
    <w:rsid w:val="716964A2"/>
    <w:rsid w:val="718C7925"/>
    <w:rsid w:val="72BA4E29"/>
    <w:rsid w:val="72E01BC7"/>
    <w:rsid w:val="75BE242B"/>
    <w:rsid w:val="76B0099C"/>
    <w:rsid w:val="76ED6BE8"/>
    <w:rsid w:val="775440A7"/>
    <w:rsid w:val="78313937"/>
    <w:rsid w:val="78C37947"/>
    <w:rsid w:val="7A0B7AA6"/>
    <w:rsid w:val="7C9A2D47"/>
    <w:rsid w:val="7D987A1F"/>
    <w:rsid w:val="7EC15ED5"/>
    <w:rsid w:val="7F52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15"/>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11"/>
    <w:unhideWhenUsed/>
    <w:qFormat/>
    <w:uiPriority w:val="9"/>
    <w:pPr>
      <w:keepNext/>
      <w:keepLines/>
      <w:widowControl/>
      <w:spacing w:before="260" w:after="260" w:line="416" w:lineRule="auto"/>
      <w:jc w:val="left"/>
      <w:outlineLvl w:val="2"/>
    </w:pPr>
    <w:rPr>
      <w:rFonts w:ascii="Calibri" w:hAnsi="Calibri" w:cs="Arial"/>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3 字符"/>
    <w:basedOn w:val="10"/>
    <w:link w:val="4"/>
    <w:qFormat/>
    <w:uiPriority w:val="9"/>
    <w:rPr>
      <w:rFonts w:ascii="Calibri" w:hAnsi="Calibri" w:cs="Arial"/>
      <w:b/>
      <w:bCs/>
      <w:kern w:val="0"/>
      <w:sz w:val="32"/>
      <w:szCs w:val="32"/>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Calibri" w:hAnsi="Calibri" w:cs="Arial"/>
      <w:b/>
      <w:bCs/>
      <w:kern w:val="44"/>
      <w:sz w:val="44"/>
      <w:szCs w:val="44"/>
    </w:rPr>
  </w:style>
  <w:style w:type="character" w:customStyle="1" w:styleId="15">
    <w:name w:val="标题 2 字符"/>
    <w:basedOn w:val="10"/>
    <w:link w:val="3"/>
    <w:qFormat/>
    <w:uiPriority w:val="9"/>
    <w:rPr>
      <w:rFonts w:asciiTheme="majorHAnsi" w:hAnsiTheme="majorHAnsi" w:eastAsiaTheme="majorEastAsia" w:cstheme="majorBidi"/>
      <w:b/>
      <w:bCs/>
      <w:kern w:val="0"/>
      <w:sz w:val="32"/>
      <w:szCs w:val="32"/>
    </w:rPr>
  </w:style>
  <w:style w:type="paragraph" w:customStyle="1" w:styleId="16">
    <w:name w:val="Other|1"/>
    <w:basedOn w:val="1"/>
    <w:qFormat/>
    <w:uiPriority w:val="0"/>
    <w:pPr>
      <w:spacing w:line="480" w:lineRule="auto"/>
      <w:ind w:firstLine="400"/>
    </w:pPr>
    <w:rPr>
      <w:rFonts w:ascii="宋体" w:hAnsi="宋体" w:eastAsia="宋体" w:cs="宋体"/>
      <w:color w:val="4F4E50"/>
      <w:sz w:val="26"/>
      <w:szCs w:val="26"/>
      <w:lang w:val="zh-TW" w:eastAsia="zh-TW" w:bidi="zh-TW"/>
    </w:rPr>
  </w:style>
  <w:style w:type="paragraph" w:customStyle="1" w:styleId="17">
    <w:name w:val="Body text|1"/>
    <w:basedOn w:val="1"/>
    <w:qFormat/>
    <w:uiPriority w:val="0"/>
    <w:pPr>
      <w:spacing w:line="480" w:lineRule="auto"/>
      <w:ind w:firstLine="400"/>
    </w:pPr>
    <w:rPr>
      <w:rFonts w:ascii="宋体" w:hAnsi="宋体" w:eastAsia="宋体" w:cs="宋体"/>
      <w:color w:val="4F4E5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2282</Words>
  <Characters>13013</Characters>
  <Lines>108</Lines>
  <Paragraphs>30</Paragraphs>
  <TotalTime>0</TotalTime>
  <ScaleCrop>false</ScaleCrop>
  <LinksUpToDate>false</LinksUpToDate>
  <CharactersWithSpaces>15265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2021-04-11T02:23:00Z</dcterms:created>
  <dc:creator>Administrator</dc:creator>
  <cp:lastModifiedBy>段小焕</cp:lastModifiedBy>
  <cp:lastPrinted>2021-04-15T10:01:00Z</cp:lastPrinted>
  <dcterms:modified xsi:type="dcterms:W3CDTF">2022-03-04T00:56:05Z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7BE046E8A2BE474DB67EDE7CFFBE4F6A</vt:lpwstr>
  </property>
</Properties>
</file>