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6953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附</w:t>
      </w: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件1</w:t>
      </w:r>
    </w:p>
    <w:p w14:paraId="7C8F3699">
      <w:pPr>
        <w:pStyle w:val="4"/>
        <w:widowControl/>
        <w:spacing w:before="0" w:beforeAutospacing="0" w:after="0" w:afterAutospacing="0" w:line="400" w:lineRule="exact"/>
        <w:rPr>
          <w:rFonts w:ascii="黑体" w:hAnsi="黑体" w:eastAsia="黑体" w:cs="黑体"/>
          <w:color w:val="auto"/>
          <w:kern w:val="2"/>
          <w:sz w:val="32"/>
          <w:szCs w:val="32"/>
          <w:lang w:val="en"/>
        </w:rPr>
      </w:pPr>
    </w:p>
    <w:p w14:paraId="1835DA6C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6-2027年度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教育数字化专项研究</w:t>
      </w:r>
    </w:p>
    <w:p w14:paraId="2193F41F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课题选题指南</w:t>
      </w:r>
    </w:p>
    <w:p w14:paraId="06A72434">
      <w:pPr>
        <w:pStyle w:val="4"/>
        <w:widowControl/>
        <w:spacing w:before="0" w:beforeAutospacing="0" w:after="0" w:afterAutospacing="0"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</w:p>
    <w:p w14:paraId="399777CD">
      <w:pPr>
        <w:spacing w:before="156" w:beforeLines="50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本指南聚焦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</w:rPr>
        <w:t>教育数智化政策理论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</w:rPr>
        <w:t>人工智能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  <w:lang w:val="en-US" w:eastAsia="zh-CN"/>
        </w:rPr>
        <w:t>赋能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</w:rPr>
        <w:t>教育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  <w:lang w:val="en-US" w:eastAsia="zh-CN"/>
        </w:rPr>
        <w:t>变革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</w:rPr>
        <w:t>、智慧教育平台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  <w:lang w:val="en-US" w:eastAsia="zh-CN"/>
        </w:rPr>
        <w:t>创新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</w:rPr>
        <w:t>应用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  <w:lang w:val="en-US" w:eastAsia="zh-CN"/>
        </w:rPr>
        <w:t>智慧校园</w:t>
      </w:r>
      <w:r>
        <w:rPr>
          <w:rFonts w:hint="eastAsia" w:ascii="仿宋_GB2312" w:eastAsia="仿宋_GB2312"/>
          <w:b w:val="0"/>
          <w:bCs w:val="0"/>
          <w:color w:val="auto"/>
          <w:sz w:val="32"/>
          <w:szCs w:val="32"/>
        </w:rPr>
        <w:t>建设与应用</w:t>
      </w:r>
      <w:r>
        <w:rPr>
          <w:rFonts w:hint="eastAsia" w:ascii="仿宋_GB2312" w:eastAsia="仿宋_GB2312" w:cs="Times New Roman"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 w:cs="Times New Roman"/>
          <w:color w:val="auto"/>
          <w:sz w:val="32"/>
          <w:szCs w:val="32"/>
        </w:rPr>
        <w:t>大</w:t>
      </w:r>
      <w:r>
        <w:rPr>
          <w:rFonts w:hint="eastAsia" w:ascii="仿宋_GB2312" w:eastAsia="仿宋_GB2312"/>
          <w:color w:val="auto"/>
          <w:sz w:val="32"/>
          <w:szCs w:val="32"/>
        </w:rPr>
        <w:t>类别，为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2026-2027年度</w:t>
      </w:r>
      <w:r>
        <w:rPr>
          <w:rFonts w:hint="eastAsia" w:ascii="仿宋_GB2312" w:eastAsia="仿宋_GB2312"/>
          <w:color w:val="auto"/>
          <w:sz w:val="32"/>
          <w:szCs w:val="32"/>
        </w:rPr>
        <w:t>教育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数字化专项</w:t>
      </w:r>
      <w:r>
        <w:rPr>
          <w:rFonts w:hint="eastAsia" w:ascii="仿宋_GB2312" w:eastAsia="仿宋_GB2312"/>
          <w:color w:val="auto"/>
          <w:sz w:val="32"/>
          <w:szCs w:val="32"/>
        </w:rPr>
        <w:t>课题研究提供指引。课题申请人可围绕各方向的核心研究范畴，结合教育教学工作实际确定研究题目，鼓励开展兼具实践性、创新性和针对性的研究。</w:t>
      </w:r>
    </w:p>
    <w:p w14:paraId="4DCE9D69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</w:rPr>
        <w:t>一</w:t>
      </w: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  <w:t>教育数智化政策理论研究</w:t>
      </w:r>
    </w:p>
    <w:p w14:paraId="4FC4518A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</w:t>
      </w: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</w:rPr>
        <w:t>1.区域/学校教育数字化发展路径研究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（现状调查、发展模式、发展策略、推进机制、评价体系等）</w:t>
      </w:r>
    </w:p>
    <w:p w14:paraId="3A9EABEB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2.数字化领导力提升路径研究</w:t>
      </w:r>
    </w:p>
    <w:p w14:paraId="01307BBE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hAnsi="Calibri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/>
        </w:rPr>
        <w:t>3.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</w:rPr>
        <w:t>数据驱动的教育治理研究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eastAsia="zh-CN"/>
        </w:rPr>
        <w:t>（</w:t>
      </w:r>
      <w:r>
        <w:rPr>
          <w:rFonts w:hint="eastAsia" w:ascii="仿宋_GB2312" w:hAnsi="Calibri" w:eastAsia="仿宋_GB2312" w:cs="Times New Roman"/>
          <w:color w:val="auto"/>
          <w:kern w:val="2"/>
          <w:sz w:val="32"/>
          <w:szCs w:val="32"/>
          <w:lang w:val="en-US" w:eastAsia="zh-CN" w:bidi="ar-SA"/>
        </w:rPr>
        <w:t>教育决策、教育评价）</w:t>
      </w:r>
    </w:p>
    <w:p w14:paraId="56BB4EE2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A4</w:t>
      </w: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</w:rPr>
        <w:t>.教育大数据治理与应用</w:t>
      </w: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研究</w:t>
      </w:r>
    </w:p>
    <w:p w14:paraId="468ADE0E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A5</w:t>
      </w: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</w:rPr>
        <w:t>.数智赋能产教融合研究</w:t>
      </w:r>
    </w:p>
    <w:p w14:paraId="56CDD4C8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default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A6.</w:t>
      </w:r>
      <w:r>
        <w:rPr>
          <w:rFonts w:hint="default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教育网络安全防护体系研究</w:t>
      </w:r>
    </w:p>
    <w:p w14:paraId="535A3FD3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default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A7.</w:t>
      </w:r>
      <w:r>
        <w:rPr>
          <w:rFonts w:hint="default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网络名师工作室运行机制研究</w:t>
      </w:r>
    </w:p>
    <w:p w14:paraId="355F0320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default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A8.中小学实验装备数字化应用研究</w:t>
      </w:r>
    </w:p>
    <w:p w14:paraId="3D10880F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color w:val="auto"/>
          <w:sz w:val="32"/>
          <w:szCs w:val="32"/>
          <w:shd w:val="clear" w:color="auto" w:fill="FFFFFF"/>
          <w:lang w:val="en-US" w:eastAsia="zh-CN"/>
        </w:rPr>
        <w:t>A9.数智赋能大中小学思政课一体化研究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资源建设、育人实践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改革创新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、推进机制、评价体系等）</w:t>
      </w:r>
    </w:p>
    <w:p w14:paraId="63C84DCD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</w:rPr>
        <w:t>人工智能赋能教育变革</w:t>
      </w:r>
    </w:p>
    <w:p w14:paraId="57B6E5A3">
      <w:pPr>
        <w:pStyle w:val="4"/>
        <w:widowControl/>
        <w:spacing w:before="0" w:beforeAutospacing="0" w:after="0" w:afterAutospacing="0" w:line="560" w:lineRule="exact"/>
        <w:ind w:firstLine="643" w:firstLineChars="200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 w:bidi="ar-SA"/>
        </w:rPr>
        <w:t>（一）人工智能通识教育</w:t>
      </w:r>
    </w:p>
    <w:p w14:paraId="39EB7411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B1.中小学人工智能通识课程体系构建与实践研究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（五育融合、资源开发、教学创新、应用实践、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机制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体系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效能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评价等）</w:t>
      </w:r>
    </w:p>
    <w:p w14:paraId="6A4720BF"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</w:rPr>
        <w:t>人工智能与教育融合发展的实践研究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（人工智能赋能教育评价/教学模式创新、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智能助教/智能学伴、人机协同教学/基于智能体的创新教学/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具身智能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/创客/跨学科学习与STEM研究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color="auto" w:fill="FFFFFF"/>
        </w:rPr>
        <w:t>/AI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</w:rPr>
        <w:t>心理健康教育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color="auto" w:fill="FFFFFF"/>
        </w:rPr>
        <w:t>/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color="auto" w:fill="FFFFFF"/>
          <w:lang w:val="en-US" w:eastAsia="zh-CN"/>
        </w:rPr>
        <w:t>智慧体育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）</w:t>
      </w:r>
    </w:p>
    <w:p w14:paraId="4951C3D1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B3.教育教学智能体研发与应用推广研究</w:t>
      </w:r>
    </w:p>
    <w:p w14:paraId="5277919A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4.“人工智能+”高等教育/职业教育发展研究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  <w:t>（创新人才培养、专业建设路径、科研范式转型）</w:t>
      </w:r>
    </w:p>
    <w:p w14:paraId="0A595CC8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/>
        </w:rPr>
        <w:t>5.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基于新课标的信息科技教育教学研究（课程落地实施、教学路径）</w:t>
      </w:r>
    </w:p>
    <w:p w14:paraId="0DE94C82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6.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</w:rPr>
        <w:t>区域中小学人工智能普及教育路径研究</w:t>
      </w:r>
    </w:p>
    <w:p w14:paraId="5CC6C8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7.教育领域人工智能伦理规范与安全防控研究</w:t>
      </w:r>
    </w:p>
    <w:p w14:paraId="193C9949">
      <w:pPr>
        <w:pStyle w:val="4"/>
        <w:widowControl/>
        <w:spacing w:before="0" w:beforeAutospacing="0" w:after="0" w:afterAutospacing="0" w:line="560" w:lineRule="exact"/>
        <w:ind w:firstLine="643" w:firstLineChars="200"/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 w:bidi="ar-SA"/>
        </w:rPr>
        <w:t>（二）人工智能赋能教师专业发展</w:t>
      </w:r>
    </w:p>
    <w:p w14:paraId="42E1806A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8.教师数字素养提升路径研究（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教师画像、培训体系、赛事驱动、智能助手、智慧教育平台赋能、数字支教、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三个课堂”深层次应用与教师专业发展研究、教师队伍数字化治理体系等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4D067130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9.数智技术支持的教研创新研究（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智能研修平台的教研模式创新、数字资源精准供给机制、师范生智能教研能力培养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04B97C7E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10.数智技术支持的教学创新研究（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混合式教学/基于数据的精准教学/数字技术支持的探究教学/数字技术支持的项目式学习/虚拟实验室教学应用/虚拟实训室应用/数字工坊应用研究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66BFDA31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11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.基于“AI课堂分析诊断”的循证教研研究（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一人同课多轮迭代、多人同课循环共创、数据驱动同课异构教研、青蓝结对互助模式、“教-学-评-改”一体化、县域数字化校际协同精准教研、典型案例培育与推广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12AA777F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B12.AI赋能课堂教学全流程闭环建构研究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（课前学情诊断与以学定教、课中动态施教与智能学习终端应用、课后智能批阅与分层辅导、全流程数据贯通与闭环迭代机制等）</w:t>
      </w:r>
    </w:p>
    <w:p w14:paraId="71E9DEAB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B13. AI驱动的精准教学实践研究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（学情数据采集与分析、教师助手支持下的动态施教、智能学习终端支持的合作探究与个性化学习、智能批阅机支持的分层练习与个性培优、教学效果实证评价等）</w:t>
      </w:r>
    </w:p>
    <w:p w14:paraId="5941B77E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智慧教育平台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创新应用</w:t>
      </w:r>
    </w:p>
    <w:p w14:paraId="5FC6CE0F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C1.国家中小学智慧教育平台创新应用研究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（推进机制、赋能优质均衡发展、创新模式、应用成效研究、资源建设、区域治理等）</w:t>
      </w:r>
    </w:p>
    <w:p w14:paraId="2D0DACA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C2.推进国家智慧教育平台深化应用工作机制研究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（国家、省智慧教育平台互联互通、教学场景常态化应用、“双师课堂”提质增效、AI赋能精准教学、特色数字教育资源多主体共建共享）</w:t>
      </w:r>
    </w:p>
    <w:p w14:paraId="0373FBB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default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C3.甘肃智慧教育平台创新应用研究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（云端名校、专递课堂、名师工作室、智慧教育平台专家指导团队运行机制等）</w:t>
      </w:r>
    </w:p>
    <w:p w14:paraId="26ABCB29">
      <w:pPr>
        <w:pStyle w:val="4"/>
        <w:widowControl/>
        <w:numPr>
          <w:ilvl w:val="0"/>
          <w:numId w:val="0"/>
        </w:numPr>
        <w:spacing w:before="0" w:beforeAutospacing="0" w:after="0" w:afterAutospacing="0" w:line="560" w:lineRule="exact"/>
        <w:ind w:leftChars="100" w:right="0" w:rightChars="0" w:firstLine="320" w:firstLineChars="100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  <w:t>四、智慧校园建设与应用</w:t>
      </w:r>
    </w:p>
    <w:p w14:paraId="44040CF7">
      <w:pPr>
        <w:pStyle w:val="4"/>
        <w:widowControl/>
        <w:numPr>
          <w:ilvl w:val="0"/>
          <w:numId w:val="0"/>
        </w:numPr>
        <w:spacing w:before="0" w:beforeAutospacing="0" w:after="0" w:afterAutospacing="0" w:line="560" w:lineRule="exact"/>
        <w:ind w:leftChars="100" w:right="0" w:rightChars="0" w:firstLine="321" w:firstLineChars="100"/>
        <w:rPr>
          <w:rFonts w:hint="default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/>
        </w:rPr>
        <w:t>（一）智慧校园建设与应用</w:t>
      </w:r>
    </w:p>
    <w:p w14:paraId="25B03E1A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D1.智慧校园建设与应用研究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（智慧教学、智慧评价、智慧管理、AI驱动、数据治理、基于省级教育数字基座的智慧校园平台构建等）</w:t>
      </w:r>
    </w:p>
    <w:p w14:paraId="164B72EB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D2.智慧教育创新应用研究（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智慧课堂、智慧作业、智慧心理、智慧体育等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2687670F">
      <w:pPr>
        <w:pStyle w:val="4"/>
        <w:widowControl/>
        <w:numPr>
          <w:ilvl w:val="0"/>
          <w:numId w:val="0"/>
        </w:numPr>
        <w:spacing w:before="0" w:beforeAutospacing="0" w:after="0" w:afterAutospacing="0" w:line="560" w:lineRule="exact"/>
        <w:ind w:leftChars="100" w:right="0" w:rightChars="0" w:firstLine="321" w:firstLineChars="100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/>
        </w:rPr>
        <w:t>（二）数智赋能课程资源建设</w:t>
      </w:r>
    </w:p>
    <w:p w14:paraId="6B02E679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D3.数字教材建设与应用研究</w:t>
      </w:r>
    </w:p>
    <w:p w14:paraId="3357E7F2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D4.数字教育资源的建设与应用研究（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甘肃五大文化资源、特色资源、教学资源二次开发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42B0AAA9">
      <w:pPr>
        <w:pStyle w:val="4"/>
        <w:widowControl/>
        <w:spacing w:before="0" w:beforeAutospacing="0" w:after="0" w:afterAutospacing="0" w:line="560" w:lineRule="exact"/>
        <w:ind w:firstLine="640" w:firstLineChars="200"/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D5.数智赋能中小学分层课程体系建设研究</w:t>
      </w:r>
      <w:r>
        <w:rPr>
          <w:rFonts w:hint="eastAsia" w:ascii="仿宋_GB2312" w:eastAsia="仿宋_GB2312" w:cs="Times New Roman"/>
          <w:color w:val="auto"/>
          <w:kern w:val="2"/>
          <w:sz w:val="32"/>
          <w:szCs w:val="32"/>
          <w:lang w:val="en-US" w:eastAsia="zh-CN" w:bidi="ar-SA"/>
        </w:rPr>
        <w:t>（校本课程研发、课后服务课程、科学教育课程）</w:t>
      </w:r>
    </w:p>
    <w:p w14:paraId="7C326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6BE47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6EA9E8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76AD2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43A0BC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19EC2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2620BF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3337E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59D43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6BB6C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color w:val="auto"/>
          <w:sz w:val="32"/>
          <w:szCs w:val="32"/>
        </w:rPr>
      </w:pPr>
    </w:p>
    <w:p w14:paraId="28DA26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27242"/>
    <w:rsid w:val="13CB2900"/>
    <w:rsid w:val="28DB4386"/>
    <w:rsid w:val="2F00270E"/>
    <w:rsid w:val="33E03357"/>
    <w:rsid w:val="44627242"/>
    <w:rsid w:val="56913EA9"/>
    <w:rsid w:val="70BC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2"/>
    <w:next w:val="1"/>
    <w:semiHidden/>
    <w:unhideWhenUsed/>
    <w:qFormat/>
    <w:uiPriority w:val="0"/>
    <w:pPr>
      <w:keepNext/>
      <w:keepLines/>
      <w:spacing w:beforeAutospacing="0" w:after="50" w:afterLines="50" w:afterAutospacing="0" w:line="560" w:lineRule="exact"/>
      <w:jc w:val="center"/>
      <w:outlineLvl w:val="1"/>
    </w:pPr>
    <w:rPr>
      <w:rFonts w:hint="eastAsia" w:ascii="Arial" w:hAnsi="Arial" w:eastAsia="微软雅黑" w:cs="宋体"/>
      <w:bCs/>
      <w:color w:val="000000" w:themeColor="text1"/>
      <w:sz w:val="28"/>
      <w:szCs w:val="48"/>
      <w:lang w:bidi="ar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1553</Words>
  <Characters>1644</Characters>
  <Lines>0</Lines>
  <Paragraphs>0</Paragraphs>
  <TotalTime>0</TotalTime>
  <ScaleCrop>false</ScaleCrop>
  <LinksUpToDate>false</LinksUpToDate>
  <CharactersWithSpaces>1645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2026-08-05T09:14:00Z</dcterms:created>
  <dc:creator>蒙星宇</dc:creator>
  <cp:lastModifiedBy>武彦芳</cp:lastModifiedBy>
  <dcterms:modified xsi:type="dcterms:W3CDTF">2026-08-09T02:59:16Z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5BCA20D2295F4118AF52841ED2397583_13</vt:lpwstr>
  </property>
  <property fmtid="{D5CDD505-2E9C-101B-9397-08002B2CF9AE}" pid="4" name="KSOTemplateDocerSaveRecord">
    <vt:lpwstr>eyJoZGlkIjoiOGMzNDA1OTEyMzlhN2QwYjJlYmQyZTNmNDgyYjI3MzMiLCJ1c2VySWQiOiIxNjQ0NDk3OTA0In0=</vt:lpwstr>
  </property>
</Properties>
</file>