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0F7099">
      <w:pPr>
        <w:spacing w:line="600" w:lineRule="exact"/>
        <w:ind w:firstLine="0" w:firstLineChars="0"/>
        <w:jc w:val="center"/>
        <w:rPr>
          <w:rFonts w:hint="eastAsia" w:ascii="方正小标宋简体" w:hAnsi="宋体" w:eastAsia="方正小标宋简体" w:cstheme="minorBidi"/>
          <w:snapToGrid w:val="0"/>
          <w:kern w:val="28"/>
          <w:sz w:val="44"/>
          <w:szCs w:val="44"/>
        </w:rPr>
      </w:pPr>
      <w:bookmarkStart w:id="28" w:name="_GoBack"/>
      <w:bookmarkEnd w:id="28"/>
      <w:bookmarkStart w:id="0" w:name="_Toc89167329"/>
      <w:bookmarkStart w:id="1" w:name="_Toc9775"/>
      <w:bookmarkStart w:id="2" w:name="_Toc9180"/>
      <w:bookmarkStart w:id="3" w:name="_Toc6111"/>
      <w:bookmarkStart w:id="4" w:name="_Toc25375"/>
      <w:bookmarkStart w:id="5" w:name="_Toc427"/>
      <w:bookmarkStart w:id="6" w:name="_Toc20936"/>
      <w:bookmarkStart w:id="7" w:name="_Toc89184289"/>
      <w:bookmarkStart w:id="8" w:name="_Toc4734"/>
      <w:bookmarkStart w:id="9" w:name="_Toc14137"/>
      <w:bookmarkStart w:id="10" w:name="_Toc17274"/>
      <w:bookmarkStart w:id="11" w:name="_Toc30668"/>
      <w:bookmarkStart w:id="12" w:name="_Toc30201"/>
      <w:bookmarkStart w:id="13" w:name="_Toc4859"/>
      <w:bookmarkStart w:id="14" w:name="_Toc11672"/>
      <w:bookmarkStart w:id="15" w:name="_Toc5395"/>
      <w:bookmarkStart w:id="16" w:name="_Toc1426"/>
      <w:bookmarkStart w:id="17" w:name="_Toc10307"/>
      <w:bookmarkStart w:id="18" w:name="_Toc32305"/>
      <w:bookmarkStart w:id="19" w:name="_Toc26553"/>
      <w:bookmarkStart w:id="20" w:name="_Toc22386"/>
      <w:bookmarkStart w:id="21" w:name="_Toc16216"/>
      <w:bookmarkStart w:id="22" w:name="_Toc22900"/>
      <w:bookmarkStart w:id="23" w:name="_Toc19124"/>
      <w:bookmarkStart w:id="24" w:name="_Toc21090"/>
      <w:bookmarkStart w:id="25" w:name="_Toc21906"/>
      <w:bookmarkStart w:id="26" w:name="_Toc23609"/>
      <w:r>
        <w:rPr>
          <w:rFonts w:hint="eastAsia" w:ascii="方正小标宋简体" w:hAnsi="宋体" w:eastAsia="方正小标宋简体" w:cstheme="minorBidi"/>
          <w:snapToGrid w:val="0"/>
          <w:kern w:val="28"/>
          <w:sz w:val="44"/>
          <w:szCs w:val="44"/>
        </w:rPr>
        <w:t>甘肃交通职业技术学院财务管理制度</w:t>
      </w:r>
      <w:bookmarkEnd w:id="0"/>
      <w:bookmarkEnd w:id="1"/>
      <w:bookmarkEnd w:id="2"/>
      <w:bookmarkEnd w:id="3"/>
      <w:bookmarkStart w:id="27" w:name="_Toc89167330"/>
      <w:r>
        <w:rPr>
          <w:rFonts w:hint="eastAsia" w:ascii="方正小标宋简体" w:hAnsi="宋体" w:eastAsia="方正小标宋简体" w:cstheme="minorBidi"/>
          <w:snapToGrid w:val="0"/>
          <w:kern w:val="28"/>
          <w:sz w:val="44"/>
          <w:szCs w:val="44"/>
        </w:rPr>
        <w:t>（修订）</w:t>
      </w: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14:paraId="3B5F6178">
      <w:pPr>
        <w:adjustRightInd w:val="0"/>
        <w:snapToGrid w:val="0"/>
        <w:spacing w:line="560" w:lineRule="exact"/>
        <w:ind w:firstLine="640"/>
        <w:jc w:val="center"/>
        <w:outlineLvl w:val="0"/>
        <w:rPr>
          <w:rFonts w:ascii="仿宋_GB2312" w:hAnsi="宋体" w:eastAsia="黑体" w:cs="宋体"/>
          <w:bCs/>
          <w:kern w:val="44"/>
          <w:sz w:val="32"/>
          <w:szCs w:val="44"/>
        </w:rPr>
      </w:pPr>
    </w:p>
    <w:p w14:paraId="552B01CC">
      <w:pPr>
        <w:adjustRightInd w:val="0"/>
        <w:snapToGrid w:val="0"/>
        <w:spacing w:line="560" w:lineRule="exact"/>
        <w:ind w:firstLine="0" w:firstLineChars="0"/>
        <w:jc w:val="center"/>
        <w:outlineLvl w:val="0"/>
        <w:rPr>
          <w:rFonts w:ascii="仿宋_GB2312" w:hAnsi="宋体" w:eastAsia="黑体" w:cs="宋体"/>
          <w:bCs/>
          <w:kern w:val="44"/>
          <w:sz w:val="32"/>
          <w:szCs w:val="44"/>
        </w:rPr>
      </w:pPr>
      <w:r>
        <w:rPr>
          <w:rFonts w:hint="eastAsia" w:ascii="仿宋_GB2312" w:hAnsi="宋体" w:eastAsia="黑体" w:cs="宋体"/>
          <w:bCs/>
          <w:kern w:val="44"/>
          <w:sz w:val="32"/>
          <w:szCs w:val="44"/>
        </w:rPr>
        <w:t>第一章 总 则</w:t>
      </w:r>
    </w:p>
    <w:p w14:paraId="6DF0DAB4">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第一条</w:t>
      </w:r>
      <w:r>
        <w:rPr>
          <w:rFonts w:hint="eastAsia" w:ascii="仿宋_GB2312" w:hAnsi="宋体" w:eastAsia="仿宋_GB2312" w:cs="宋体"/>
          <w:sz w:val="32"/>
          <w:szCs w:val="32"/>
        </w:rPr>
        <w:t xml:space="preserve"> 为进一步规范学</w:t>
      </w:r>
      <w:r>
        <w:rPr>
          <w:rFonts w:hint="eastAsia" w:ascii="仿宋_GB2312" w:hAnsi="宋体" w:eastAsia="仿宋_GB2312" w:cs="宋体"/>
          <w:sz w:val="32"/>
          <w:szCs w:val="32"/>
          <w:lang w:val="en-US" w:eastAsia="zh-CN"/>
        </w:rPr>
        <w:t>校</w:t>
      </w:r>
      <w:r>
        <w:rPr>
          <w:rFonts w:hint="eastAsia" w:ascii="仿宋_GB2312" w:hAnsi="宋体" w:eastAsia="仿宋_GB2312" w:cs="宋体"/>
          <w:sz w:val="32"/>
          <w:szCs w:val="32"/>
        </w:rPr>
        <w:t>财务行为，加强财务管理和监督，提升财务治理能力和水平，提高资金使用效益，促进学</w:t>
      </w:r>
      <w:r>
        <w:rPr>
          <w:rFonts w:hint="eastAsia" w:ascii="仿宋_GB2312" w:hAnsi="宋体" w:eastAsia="仿宋_GB2312" w:cs="宋体"/>
          <w:sz w:val="32"/>
          <w:szCs w:val="32"/>
          <w:lang w:val="en-US" w:eastAsia="zh-CN"/>
        </w:rPr>
        <w:t>校</w:t>
      </w:r>
      <w:r>
        <w:rPr>
          <w:rFonts w:hint="eastAsia" w:ascii="仿宋_GB2312" w:hAnsi="宋体" w:eastAsia="仿宋_GB2312" w:cs="宋体"/>
          <w:sz w:val="32"/>
          <w:szCs w:val="32"/>
        </w:rPr>
        <w:t>教育事业健康、可持续发展，根据《中华人民共和国会计法》、《事业单位财务规则》（财政部令第108号）、《高等学校财务制度》（财教〔2022〕128号）及国家有关法律制度，结合学</w:t>
      </w:r>
      <w:r>
        <w:rPr>
          <w:rFonts w:hint="eastAsia" w:ascii="仿宋_GB2312" w:hAnsi="宋体" w:eastAsia="仿宋_GB2312" w:cs="宋体"/>
          <w:sz w:val="32"/>
          <w:szCs w:val="32"/>
          <w:lang w:val="en-US" w:eastAsia="zh-CN"/>
        </w:rPr>
        <w:t>校</w:t>
      </w:r>
      <w:r>
        <w:rPr>
          <w:rFonts w:hint="eastAsia" w:ascii="仿宋_GB2312" w:hAnsi="宋体" w:eastAsia="仿宋_GB2312" w:cs="宋体"/>
          <w:sz w:val="32"/>
          <w:szCs w:val="32"/>
        </w:rPr>
        <w:t>实际，制定本制度。</w:t>
      </w:r>
    </w:p>
    <w:p w14:paraId="4C03254C">
      <w:pPr>
        <w:adjustRightInd w:val="0"/>
        <w:snapToGrid w:val="0"/>
        <w:spacing w:line="560" w:lineRule="exact"/>
        <w:jc w:val="both"/>
        <w:rPr>
          <w:rFonts w:ascii="仿宋_GB2312" w:hAnsi="宋体" w:eastAsia="仿宋_GB2312" w:cs="宋体"/>
          <w:sz w:val="32"/>
          <w:szCs w:val="32"/>
          <w:highlight w:val="yellow"/>
        </w:rPr>
      </w:pPr>
      <w:r>
        <w:rPr>
          <w:rFonts w:hint="eastAsia" w:ascii="仿宋_GB2312" w:hAnsi="宋体" w:eastAsia="仿宋_GB2312" w:cs="宋体"/>
          <w:b/>
          <w:bCs/>
          <w:sz w:val="32"/>
          <w:szCs w:val="32"/>
        </w:rPr>
        <w:t>第二条</w:t>
      </w:r>
      <w:r>
        <w:rPr>
          <w:rFonts w:hint="eastAsia" w:ascii="仿宋_GB2312" w:hAnsi="宋体" w:eastAsia="仿宋_GB2312" w:cs="宋体"/>
          <w:sz w:val="32"/>
          <w:szCs w:val="32"/>
        </w:rPr>
        <w:t xml:space="preserve"> 学校财务管理的基本原则是：执行国家有关法律、法规和财务规章制度；坚持勤俭办学的方针；正确处理事业发展需要和资金供给的关系，社会效益和经济效益的关系，国家、学校和个人三者利益的关系。</w:t>
      </w:r>
    </w:p>
    <w:p w14:paraId="6919EDCB">
      <w:pPr>
        <w:adjustRightInd w:val="0"/>
        <w:snapToGrid w:val="0"/>
        <w:spacing w:line="560" w:lineRule="exact"/>
        <w:jc w:val="both"/>
        <w:rPr>
          <w:rFonts w:hint="eastAsia" w:ascii="仿宋_GB2312" w:hAnsi="宋体" w:eastAsia="仿宋_GB2312" w:cs="宋体"/>
          <w:sz w:val="32"/>
          <w:szCs w:val="32"/>
          <w:lang w:eastAsia="zh-CN"/>
        </w:rPr>
      </w:pPr>
      <w:r>
        <w:rPr>
          <w:rFonts w:hint="eastAsia" w:ascii="仿宋_GB2312" w:hAnsi="宋体" w:eastAsia="仿宋_GB2312" w:cs="宋体"/>
          <w:b/>
          <w:bCs/>
          <w:sz w:val="32"/>
          <w:szCs w:val="32"/>
        </w:rPr>
        <w:t>第三条</w:t>
      </w:r>
      <w:r>
        <w:rPr>
          <w:rFonts w:hint="eastAsia" w:ascii="仿宋_GB2312" w:hAnsi="宋体" w:eastAsia="仿宋_GB2312" w:cs="宋体"/>
          <w:sz w:val="32"/>
          <w:szCs w:val="32"/>
        </w:rPr>
        <w:t xml:space="preserve"> 学校财务管理的主要任务是：合理编制学校预算，严格预算执行，完整、准确编制学校决算报告和财务报告，真实反映学校预算执行情况、财务状况和运行情况；依法多渠道筹集资金，努力节约支出；建立健全学校财务制度，加强经济核算，全面实施绩效管理，提高资金使用效益；加强资产管理，真实完整地反映资产使用状况，合理配置和有效利用资产，防止资产流失；建立健全内部控制体系，加强对学校经济活动的财务控制和监督，防范财务风险</w:t>
      </w:r>
      <w:r>
        <w:rPr>
          <w:rFonts w:hint="eastAsia" w:ascii="仿宋_GB2312" w:hAnsi="宋体" w:eastAsia="仿宋_GB2312" w:cs="宋体"/>
          <w:sz w:val="32"/>
          <w:szCs w:val="32"/>
          <w:lang w:eastAsia="zh-CN"/>
        </w:rPr>
        <w:t>。</w:t>
      </w:r>
    </w:p>
    <w:p w14:paraId="33CFEE6E">
      <w:pPr>
        <w:adjustRightInd w:val="0"/>
        <w:snapToGrid w:val="0"/>
        <w:spacing w:line="560" w:lineRule="exact"/>
        <w:jc w:val="both"/>
        <w:rPr>
          <w:rFonts w:hint="default" w:ascii="仿宋_GB2312" w:hAnsi="宋体" w:eastAsia="仿宋_GB2312" w:cs="宋体"/>
          <w:sz w:val="32"/>
          <w:szCs w:val="32"/>
          <w:highlight w:val="cyan"/>
          <w:lang w:val="en-US" w:eastAsia="zh-CN"/>
        </w:rPr>
      </w:pPr>
      <w:r>
        <w:rPr>
          <w:rFonts w:hint="eastAsia" w:ascii="仿宋_GB2312" w:hAnsi="宋体" w:eastAsia="仿宋_GB2312" w:cs="宋体"/>
          <w:b/>
          <w:bCs/>
          <w:sz w:val="32"/>
          <w:szCs w:val="32"/>
        </w:rPr>
        <w:t>第四条</w:t>
      </w:r>
      <w:r>
        <w:rPr>
          <w:rFonts w:hint="eastAsia" w:ascii="仿宋_GB2312" w:hAnsi="宋体" w:eastAsia="仿宋_GB2312" w:cs="宋体"/>
          <w:sz w:val="32"/>
          <w:szCs w:val="32"/>
        </w:rPr>
        <w:t xml:space="preserve"> 学校的各项经济业务事项按照国家统一的会计制度进行会计核算。</w:t>
      </w:r>
      <w:r>
        <w:rPr>
          <w:rFonts w:hint="eastAsia" w:ascii="仿宋_GB2312" w:hAnsi="宋体" w:eastAsia="仿宋_GB2312" w:cs="宋体"/>
          <w:sz w:val="32"/>
          <w:szCs w:val="32"/>
          <w:lang w:val="en-US" w:eastAsia="zh-CN"/>
        </w:rPr>
        <w:t>按照</w:t>
      </w:r>
      <w:r>
        <w:rPr>
          <w:rFonts w:hint="eastAsia" w:ascii="仿宋_GB2312" w:hAnsi="宋体" w:eastAsia="仿宋_GB2312" w:cs="宋体"/>
          <w:sz w:val="32"/>
          <w:szCs w:val="32"/>
        </w:rPr>
        <w:t>财政部门和教育主管部门的</w:t>
      </w:r>
      <w:r>
        <w:rPr>
          <w:rFonts w:hint="eastAsia" w:ascii="仿宋_GB2312" w:hAnsi="宋体" w:eastAsia="仿宋_GB2312" w:cs="宋体"/>
          <w:sz w:val="32"/>
          <w:szCs w:val="32"/>
          <w:lang w:val="en-US" w:eastAsia="zh-CN"/>
        </w:rPr>
        <w:t>要求</w:t>
      </w:r>
      <w:r>
        <w:rPr>
          <w:rFonts w:hint="eastAsia" w:ascii="仿宋_GB2312" w:hAnsi="宋体" w:eastAsia="仿宋_GB2312" w:cs="宋体"/>
          <w:sz w:val="32"/>
          <w:szCs w:val="32"/>
        </w:rPr>
        <w:t>，</w:t>
      </w:r>
      <w:r>
        <w:rPr>
          <w:rFonts w:hint="eastAsia" w:ascii="仿宋_GB2312" w:hAnsi="宋体" w:eastAsia="仿宋_GB2312" w:cs="宋体"/>
          <w:sz w:val="32"/>
          <w:szCs w:val="32"/>
          <w:lang w:val="en-US" w:eastAsia="zh-CN"/>
        </w:rPr>
        <w:t>逐步</w:t>
      </w:r>
      <w:r>
        <w:rPr>
          <w:rFonts w:hint="eastAsia" w:ascii="仿宋_GB2312" w:hAnsi="宋体" w:eastAsia="仿宋_GB2312" w:cs="宋体"/>
          <w:sz w:val="32"/>
          <w:szCs w:val="32"/>
        </w:rPr>
        <w:t>推进成本核算工作。</w:t>
      </w:r>
      <w:r>
        <w:rPr>
          <w:rFonts w:hint="eastAsia" w:ascii="仿宋_GB2312" w:hAnsi="宋体" w:eastAsia="仿宋_GB2312" w:cs="宋体"/>
          <w:sz w:val="32"/>
          <w:szCs w:val="32"/>
          <w:lang w:val="en-US" w:eastAsia="zh-CN"/>
        </w:rPr>
        <w:t xml:space="preserve">  </w:t>
      </w:r>
    </w:p>
    <w:p w14:paraId="0EB1D3F4">
      <w:pPr>
        <w:spacing w:line="560" w:lineRule="exact"/>
        <w:ind w:firstLine="0" w:firstLineChars="0"/>
        <w:jc w:val="center"/>
        <w:rPr>
          <w:rFonts w:ascii="仿宋" w:eastAsia="仿宋"/>
          <w:b/>
          <w:bCs/>
        </w:rPr>
      </w:pPr>
      <w:r>
        <w:rPr>
          <w:rFonts w:hint="eastAsia" w:ascii="仿宋_GB2312" w:hAnsi="宋体" w:eastAsia="黑体" w:cs="宋体"/>
          <w:bCs/>
          <w:kern w:val="44"/>
          <w:sz w:val="32"/>
          <w:szCs w:val="44"/>
        </w:rPr>
        <w:t>第二章 财务管理体制</w:t>
      </w:r>
    </w:p>
    <w:p w14:paraId="772546EF">
      <w:pPr>
        <w:adjustRightInd w:val="0"/>
        <w:snapToGrid w:val="0"/>
        <w:spacing w:line="560" w:lineRule="exact"/>
        <w:jc w:val="both"/>
        <w:rPr>
          <w:rFonts w:hint="eastAsia" w:ascii="仿宋_GB2312" w:hAnsi="Times New Roman" w:eastAsia="仿宋_GB2312" w:cs="Times New Roman"/>
          <w:sz w:val="32"/>
          <w:szCs w:val="32"/>
          <w:highlight w:val="none"/>
          <w:lang w:val="en-US" w:eastAsia="zh-CN"/>
        </w:rPr>
      </w:pPr>
      <w:r>
        <w:rPr>
          <w:rFonts w:hint="eastAsia" w:ascii="仿宋_GB2312" w:hAnsi="Times New Roman" w:eastAsia="仿宋_GB2312" w:cs="Times New Roman"/>
          <w:b/>
          <w:bCs/>
          <w:sz w:val="32"/>
          <w:szCs w:val="32"/>
          <w:highlight w:val="none"/>
          <w:lang w:val="en-US" w:eastAsia="zh-CN"/>
        </w:rPr>
        <w:t>第五条</w:t>
      </w:r>
      <w:r>
        <w:rPr>
          <w:rFonts w:hint="eastAsia" w:ascii="仿宋_GB2312" w:hAnsi="Times New Roman" w:eastAsia="仿宋_GB2312" w:cs="Times New Roman"/>
          <w:sz w:val="32"/>
          <w:szCs w:val="32"/>
          <w:highlight w:val="none"/>
          <w:lang w:val="en-US" w:eastAsia="zh-CN"/>
        </w:rPr>
        <w:t xml:space="preserve"> 学校实行“统一领导、集中管理”的财务管理体制。</w:t>
      </w:r>
    </w:p>
    <w:p w14:paraId="513295BD">
      <w:pPr>
        <w:adjustRightInd w:val="0"/>
        <w:snapToGrid w:val="0"/>
        <w:spacing w:line="560" w:lineRule="exact"/>
        <w:jc w:val="both"/>
        <w:rPr>
          <w:rFonts w:hint="eastAsia" w:ascii="仿宋_GB2312" w:hAnsi="宋体" w:eastAsia="仿宋_GB2312" w:cs="宋体"/>
          <w:sz w:val="32"/>
          <w:szCs w:val="32"/>
          <w:lang w:eastAsia="zh-CN"/>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学校财务工作实行党委领导下的校长负责制。学校应当配备具有财务管理背景的副校级行政领导成员，协助校长管理学校财务工作</w:t>
      </w:r>
      <w:r>
        <w:rPr>
          <w:rFonts w:hint="eastAsia" w:ascii="仿宋_GB2312" w:hAnsi="宋体" w:eastAsia="仿宋_GB2312" w:cs="宋体"/>
          <w:sz w:val="32"/>
          <w:szCs w:val="32"/>
          <w:lang w:eastAsia="zh-CN"/>
        </w:rPr>
        <w:t>。</w:t>
      </w:r>
    </w:p>
    <w:p w14:paraId="6B52ABC1">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highlight w:val="none"/>
        </w:rPr>
        <w:t>第</w:t>
      </w:r>
      <w:r>
        <w:rPr>
          <w:rFonts w:hint="eastAsia" w:ascii="仿宋_GB2312" w:hAnsi="宋体" w:eastAsia="仿宋_GB2312" w:cs="宋体"/>
          <w:b/>
          <w:bCs/>
          <w:sz w:val="32"/>
          <w:szCs w:val="32"/>
          <w:highlight w:val="none"/>
          <w:lang w:val="en-US" w:eastAsia="zh-CN"/>
        </w:rPr>
        <w:t>七</w:t>
      </w:r>
      <w:r>
        <w:rPr>
          <w:rFonts w:hint="eastAsia" w:ascii="仿宋_GB2312" w:hAnsi="宋体" w:eastAsia="仿宋_GB2312" w:cs="宋体"/>
          <w:b/>
          <w:bCs/>
          <w:sz w:val="32"/>
          <w:szCs w:val="32"/>
          <w:highlight w:val="none"/>
        </w:rPr>
        <w:t>条</w:t>
      </w:r>
      <w:r>
        <w:rPr>
          <w:rFonts w:hint="eastAsia" w:ascii="仿宋_GB2312" w:hAnsi="宋体" w:eastAsia="仿宋_GB2312" w:cs="宋体"/>
          <w:sz w:val="32"/>
          <w:szCs w:val="32"/>
          <w:highlight w:val="none"/>
        </w:rPr>
        <w:t xml:space="preserve"> </w:t>
      </w:r>
      <w:r>
        <w:rPr>
          <w:rFonts w:hint="eastAsia" w:ascii="仿宋_GB2312" w:hAnsi="宋体" w:eastAsia="仿宋_GB2312" w:cs="宋体"/>
          <w:sz w:val="32"/>
          <w:szCs w:val="32"/>
        </w:rPr>
        <w:t>学校应当单独设置计划财务处，作为学校一级财务机构，配备专业化财务机构负责人，在校长和分管校领导的领导下，统一管理学校各项财务工作。</w:t>
      </w:r>
    </w:p>
    <w:p w14:paraId="2B68CC75">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lang w:val="en-US" w:eastAsia="zh-CN"/>
        </w:rPr>
        <w:t>第八条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学校因工作需要设置财务账簿的部门，必须遵守和执行学校统一制定的财务规章制度，并接受</w:t>
      </w:r>
      <w:r>
        <w:rPr>
          <w:rFonts w:hint="eastAsia" w:ascii="仿宋_GB2312" w:hAnsi="宋体" w:eastAsia="仿宋_GB2312" w:cs="宋体"/>
          <w:sz w:val="32"/>
          <w:szCs w:val="32"/>
          <w:lang w:val="en-US" w:eastAsia="zh-CN"/>
        </w:rPr>
        <w:t>计划</w:t>
      </w:r>
      <w:r>
        <w:rPr>
          <w:rFonts w:hint="eastAsia" w:ascii="仿宋_GB2312" w:hAnsi="宋体" w:eastAsia="仿宋_GB2312" w:cs="宋体"/>
          <w:sz w:val="32"/>
          <w:szCs w:val="32"/>
        </w:rPr>
        <w:t>财务处的监督和检查，同时接受审计部门的审计。按照《会计档案管理办法》要求，依法依规做好会计档案管理工作。</w:t>
      </w:r>
    </w:p>
    <w:p w14:paraId="04FB351A">
      <w:pPr>
        <w:adjustRightInd w:val="0"/>
        <w:snapToGrid w:val="0"/>
        <w:spacing w:line="560" w:lineRule="exact"/>
        <w:jc w:val="both"/>
        <w:rPr>
          <w:rFonts w:hint="eastAsia" w:ascii="仿宋_GB2312" w:hAnsi="宋体" w:eastAsia="仿宋_GB2312" w:cs="宋体"/>
          <w:sz w:val="32"/>
          <w:szCs w:val="32"/>
          <w:lang w:eastAsia="zh-CN"/>
        </w:rPr>
      </w:pPr>
      <w:r>
        <w:rPr>
          <w:rFonts w:hint="eastAsia" w:ascii="仿宋_GB2312" w:hAnsi="宋体" w:eastAsia="仿宋_GB2312" w:cs="宋体"/>
          <w:b/>
          <w:bCs/>
          <w:sz w:val="32"/>
          <w:szCs w:val="32"/>
        </w:rPr>
        <w:t>第九条</w:t>
      </w:r>
      <w:r>
        <w:rPr>
          <w:rFonts w:hint="eastAsia" w:ascii="仿宋_GB2312" w:hAnsi="宋体" w:eastAsia="仿宋_GB2312" w:cs="宋体"/>
          <w:sz w:val="32"/>
          <w:szCs w:val="32"/>
        </w:rPr>
        <w:t xml:space="preserve"> 学校校内非独立法人单位因工作需要设置的财务机构，应当作为学校的二级财务机构。二级财务机构应当遵守和执行学校统一制定的财务规章制度，并接受学校一级财务机构的统一领导、监督和检查。二级财务机构负责人的任免、调动或者撤换，应当征求学校</w:t>
      </w:r>
      <w:r>
        <w:rPr>
          <w:rFonts w:hint="eastAsia" w:ascii="仿宋_GB2312" w:hAnsi="宋体" w:eastAsia="仿宋_GB2312" w:cs="宋体"/>
          <w:sz w:val="32"/>
          <w:szCs w:val="32"/>
          <w:lang w:val="en-US" w:eastAsia="zh-CN"/>
        </w:rPr>
        <w:t>计划</w:t>
      </w:r>
      <w:r>
        <w:rPr>
          <w:rFonts w:hint="eastAsia" w:ascii="仿宋_GB2312" w:hAnsi="宋体" w:eastAsia="仿宋_GB2312" w:cs="宋体"/>
          <w:sz w:val="32"/>
          <w:szCs w:val="32"/>
        </w:rPr>
        <w:t>财务处意见</w:t>
      </w:r>
      <w:r>
        <w:rPr>
          <w:rFonts w:hint="eastAsia" w:ascii="仿宋_GB2312" w:hAnsi="宋体" w:eastAsia="仿宋_GB2312" w:cs="宋体"/>
          <w:sz w:val="32"/>
          <w:szCs w:val="32"/>
          <w:lang w:eastAsia="zh-CN"/>
        </w:rPr>
        <w:t>。</w:t>
      </w:r>
    </w:p>
    <w:p w14:paraId="4F02859E">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第十条</w:t>
      </w:r>
      <w:r>
        <w:rPr>
          <w:rFonts w:hint="eastAsia" w:ascii="仿宋_GB2312" w:hAnsi="宋体" w:eastAsia="仿宋_GB2312" w:cs="宋体"/>
          <w:sz w:val="32"/>
          <w:szCs w:val="32"/>
        </w:rPr>
        <w:t xml:space="preserve"> 学校财务机构应当配备专职财务、会计人员。财务、会计人员应当具备与其工作岗位相适应的专业能力。财务、会计人员的调入、调出、专业技术职务评聘，应当由学校财务处会同有关部门办理。</w:t>
      </w:r>
    </w:p>
    <w:p w14:paraId="5D940C23">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第三章 预算管理</w:t>
      </w:r>
    </w:p>
    <w:p w14:paraId="13A292D4">
      <w:pPr>
        <w:adjustRightInd w:val="0"/>
        <w:snapToGrid w:val="0"/>
        <w:spacing w:line="560" w:lineRule="exact"/>
        <w:jc w:val="both"/>
        <w:rPr>
          <w:rFonts w:hint="eastAsia" w:ascii="仿宋_GB2312" w:hAnsi="宋体" w:eastAsia="仿宋_GB2312" w:cs="宋体"/>
          <w:sz w:val="32"/>
          <w:szCs w:val="32"/>
          <w:lang w:eastAsia="zh-CN"/>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十一</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学校预算是指学校根据事业发展目标和计划编制的年度财务收支计划。学校预算由收入预算和支出预算组成</w:t>
      </w:r>
      <w:r>
        <w:rPr>
          <w:rFonts w:hint="eastAsia" w:ascii="仿宋_GB2312" w:hAnsi="宋体" w:eastAsia="仿宋_GB2312" w:cs="宋体"/>
          <w:sz w:val="32"/>
          <w:szCs w:val="32"/>
          <w:lang w:eastAsia="zh-CN"/>
        </w:rPr>
        <w:t>。</w:t>
      </w:r>
    </w:p>
    <w:p w14:paraId="51AE3DD8">
      <w:pPr>
        <w:adjustRightInd w:val="0"/>
        <w:snapToGrid w:val="0"/>
        <w:spacing w:line="560" w:lineRule="exact"/>
        <w:jc w:val="both"/>
        <w:rPr>
          <w:rFonts w:hint="eastAsia" w:ascii="仿宋_GB2312" w:hAnsi="宋体" w:eastAsia="仿宋_GB2312" w:cs="宋体"/>
          <w:b/>
          <w:bCs/>
          <w:sz w:val="32"/>
          <w:szCs w:val="32"/>
        </w:rPr>
      </w:pPr>
      <w:r>
        <w:rPr>
          <w:rFonts w:hint="eastAsia" w:ascii="仿宋_GB2312" w:hAnsi="宋体" w:eastAsia="仿宋_GB2312" w:cs="宋体"/>
          <w:b/>
          <w:bCs/>
          <w:sz w:val="32"/>
          <w:szCs w:val="32"/>
        </w:rPr>
        <w:t>第十二条</w:t>
      </w:r>
      <w:r>
        <w:rPr>
          <w:rFonts w:hint="eastAsia" w:ascii="仿宋_GB2312" w:hAnsi="宋体" w:eastAsia="仿宋_GB2312" w:cs="宋体"/>
          <w:b w:val="0"/>
          <w:bCs w:val="0"/>
          <w:sz w:val="32"/>
          <w:szCs w:val="32"/>
          <w:lang w:val="en-US" w:eastAsia="zh-CN"/>
        </w:rPr>
        <w:t xml:space="preserve"> </w:t>
      </w:r>
      <w:r>
        <w:rPr>
          <w:rFonts w:hint="eastAsia" w:ascii="仿宋_GB2312" w:hAnsi="宋体" w:eastAsia="仿宋_GB2312" w:cs="宋体"/>
          <w:b w:val="0"/>
          <w:bCs w:val="0"/>
          <w:sz w:val="32"/>
          <w:szCs w:val="32"/>
        </w:rPr>
        <w:t>国家对学校实行核定收支、定额或者定项补助、超支不补、结转和结余按规定使用的预算管理办法。</w:t>
      </w:r>
    </w:p>
    <w:p w14:paraId="5EE78902">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 xml:space="preserve">第十三条 </w:t>
      </w:r>
      <w:r>
        <w:rPr>
          <w:rFonts w:hint="eastAsia" w:ascii="仿宋_GB2312" w:hAnsi="宋体" w:eastAsia="仿宋_GB2312" w:cs="宋体"/>
          <w:b w:val="0"/>
          <w:bCs w:val="0"/>
          <w:sz w:val="32"/>
          <w:szCs w:val="32"/>
        </w:rPr>
        <w:t>学校预算编制应当遵循“量入为出、收支平衡、统筹兼顾、绩效优先”的原则。收入预算编制应当积极稳妥；支出预算编制应当统筹兼顾、保证重点、勤俭节约。不得编制赤字预算。</w:t>
      </w:r>
    </w:p>
    <w:p w14:paraId="477CE987">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_GB2312" w:hAnsi="宋体" w:eastAsia="仿宋_GB2312" w:cs="宋体"/>
          <w:sz w:val="32"/>
          <w:szCs w:val="32"/>
        </w:rPr>
      </w:pPr>
      <w:r>
        <w:rPr>
          <w:rFonts w:hint="eastAsia" w:ascii="仿宋_GB2312" w:hAnsi="宋体" w:eastAsia="仿宋_GB2312" w:cs="宋体"/>
          <w:b/>
          <w:bCs/>
          <w:sz w:val="32"/>
          <w:szCs w:val="32"/>
        </w:rPr>
        <w:t xml:space="preserve">第十四条 </w:t>
      </w:r>
      <w:r>
        <w:rPr>
          <w:rFonts w:hint="eastAsia" w:ascii="仿宋_GB2312" w:hAnsi="宋体" w:eastAsia="仿宋_GB2312" w:cs="宋体"/>
          <w:b w:val="0"/>
          <w:bCs w:val="0"/>
          <w:sz w:val="32"/>
          <w:szCs w:val="32"/>
        </w:rPr>
        <w:t>学校参考以前年度预算执行、预算绩效评价结果、结转和结余情况，根据国家宏观调控总体要求、预算年度事业发展目标、计划与财力可能，以及年度收支增减因素和措施，按照预算编制的规定编制年度预算。学校预算可采用零基预算、滚动预算等相结合的编制方法</w:t>
      </w:r>
      <w:r>
        <w:rPr>
          <w:rFonts w:hint="eastAsia" w:ascii="仿宋_GB2312" w:hAnsi="宋体" w:eastAsia="仿宋_GB2312" w:cs="宋体"/>
          <w:sz w:val="32"/>
          <w:szCs w:val="32"/>
        </w:rPr>
        <w:t>。</w:t>
      </w:r>
    </w:p>
    <w:p w14:paraId="10E1044B">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ascii="仿宋_GB2312" w:hAnsi="宋体" w:eastAsia="仿宋_GB2312" w:cs="宋体"/>
          <w:sz w:val="32"/>
          <w:szCs w:val="32"/>
        </w:rPr>
      </w:pPr>
      <w:r>
        <w:rPr>
          <w:rFonts w:hint="eastAsia" w:ascii="仿宋_GB2312" w:hAnsi="宋体" w:eastAsia="仿宋_GB2312" w:cs="宋体"/>
          <w:b/>
          <w:bCs/>
          <w:sz w:val="32"/>
          <w:szCs w:val="32"/>
        </w:rPr>
        <w:t xml:space="preserve">第十五条 </w:t>
      </w:r>
      <w:r>
        <w:rPr>
          <w:rFonts w:hint="eastAsia" w:ascii="仿宋_GB2312" w:hAnsi="宋体" w:eastAsia="仿宋_GB2312" w:cs="宋体"/>
          <w:b w:val="0"/>
          <w:bCs w:val="0"/>
          <w:sz w:val="32"/>
          <w:szCs w:val="32"/>
        </w:rPr>
        <w:t>学校应当严格执行批准的预算。预算一经批复，原则上不得调整。因特殊情况确需调整预算的，应按规定程序审批。</w:t>
      </w:r>
    </w:p>
    <w:p w14:paraId="236E79B4">
      <w:pPr>
        <w:adjustRightInd w:val="0"/>
        <w:snapToGrid w:val="0"/>
        <w:spacing w:line="560" w:lineRule="exact"/>
        <w:jc w:val="both"/>
        <w:rPr>
          <w:rFonts w:hint="eastAsia" w:ascii="仿宋_GB2312" w:hAnsi="宋体" w:eastAsia="仿宋_GB2312" w:cs="宋体"/>
          <w:b w:val="0"/>
          <w:bCs w:val="0"/>
          <w:sz w:val="32"/>
          <w:szCs w:val="32"/>
        </w:rPr>
      </w:pPr>
      <w:r>
        <w:rPr>
          <w:rFonts w:hint="eastAsia" w:ascii="仿宋_GB2312" w:hAnsi="宋体" w:eastAsia="仿宋_GB2312" w:cs="宋体"/>
          <w:b/>
          <w:bCs/>
          <w:sz w:val="32"/>
          <w:szCs w:val="32"/>
        </w:rPr>
        <w:t xml:space="preserve">第十六条 </w:t>
      </w:r>
      <w:r>
        <w:rPr>
          <w:rFonts w:hint="eastAsia" w:ascii="仿宋_GB2312" w:hAnsi="宋体" w:eastAsia="仿宋_GB2312" w:cs="宋体"/>
          <w:b w:val="0"/>
          <w:bCs w:val="0"/>
          <w:sz w:val="32"/>
          <w:szCs w:val="32"/>
        </w:rPr>
        <w:t>学校决算是指学校预算收支和结余的年度执行结果。学校应当按照规定编制年度决算报告，加强决算审核和分析，保证决算数据的真实、准确，规范决算管理工作。</w:t>
      </w:r>
    </w:p>
    <w:p w14:paraId="599B6906">
      <w:pPr>
        <w:adjustRightInd w:val="0"/>
        <w:snapToGrid w:val="0"/>
        <w:spacing w:line="560" w:lineRule="exact"/>
        <w:jc w:val="both"/>
        <w:rPr>
          <w:rFonts w:hint="eastAsia" w:ascii="仿宋_GB2312" w:hAnsi="宋体" w:eastAsia="仿宋_GB2312" w:cs="宋体"/>
          <w:b w:val="0"/>
          <w:bCs w:val="0"/>
          <w:sz w:val="32"/>
          <w:szCs w:val="32"/>
        </w:rPr>
      </w:pPr>
      <w:r>
        <w:rPr>
          <w:rFonts w:hint="eastAsia" w:ascii="仿宋_GB2312" w:hAnsi="宋体" w:eastAsia="仿宋_GB2312" w:cs="宋体"/>
          <w:b/>
          <w:bCs/>
          <w:sz w:val="32"/>
          <w:szCs w:val="32"/>
        </w:rPr>
        <w:t>第十七条</w:t>
      </w:r>
      <w:r>
        <w:rPr>
          <w:rFonts w:hint="eastAsia" w:ascii="仿宋_GB2312" w:hAnsi="宋体" w:eastAsia="仿宋_GB2312" w:cs="宋体"/>
          <w:b w:val="0"/>
          <w:bCs w:val="0"/>
          <w:sz w:val="32"/>
          <w:szCs w:val="32"/>
        </w:rPr>
        <w:t xml:space="preserve"> 学校应当全面加强预算绩效管理，建立事前绩效评估、事中绩效监控、事后绩效评价的全过程管理机制，强化绩效结果应用，提高资金使用效益。</w:t>
      </w:r>
    </w:p>
    <w:p w14:paraId="603FBAAA">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第四章 收入管理</w:t>
      </w:r>
    </w:p>
    <w:p w14:paraId="036490C3">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第十</w:t>
      </w:r>
      <w:r>
        <w:rPr>
          <w:rFonts w:hint="eastAsia" w:ascii="仿宋_GB2312" w:hAnsi="宋体" w:eastAsia="仿宋_GB2312" w:cs="宋体"/>
          <w:b/>
          <w:bCs/>
          <w:sz w:val="32"/>
          <w:szCs w:val="32"/>
          <w:lang w:val="en-US" w:eastAsia="zh-CN"/>
        </w:rPr>
        <w:t>八</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收入是指学校开展教学、科研及其他活动依法取得的非偿还性资金。</w:t>
      </w:r>
    </w:p>
    <w:p w14:paraId="11F873FE">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第十</w:t>
      </w:r>
      <w:r>
        <w:rPr>
          <w:rFonts w:hint="eastAsia" w:ascii="仿宋_GB2312" w:hAnsi="宋体" w:eastAsia="仿宋_GB2312" w:cs="宋体"/>
          <w:b/>
          <w:bCs/>
          <w:sz w:val="32"/>
          <w:szCs w:val="32"/>
          <w:lang w:val="en-US" w:eastAsia="zh-CN"/>
        </w:rPr>
        <w:t>九</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学校的收入包括：</w:t>
      </w:r>
    </w:p>
    <w:p w14:paraId="0386880E">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sz w:val="32"/>
          <w:szCs w:val="32"/>
        </w:rPr>
        <w:t>（一）财政补助收入</w:t>
      </w:r>
      <w:r>
        <w:rPr>
          <w:rFonts w:hint="eastAsia" w:ascii="仿宋_GB2312" w:hAnsi="宋体" w:eastAsia="仿宋_GB2312" w:cs="宋体"/>
          <w:sz w:val="32"/>
          <w:szCs w:val="32"/>
          <w:lang w:eastAsia="zh-CN"/>
        </w:rPr>
        <w:t>：</w:t>
      </w:r>
      <w:r>
        <w:rPr>
          <w:rFonts w:hint="eastAsia" w:ascii="仿宋_GB2312" w:hAnsi="宋体" w:eastAsia="仿宋_GB2312" w:cs="宋体"/>
          <w:sz w:val="32"/>
          <w:szCs w:val="32"/>
        </w:rPr>
        <w:t>高等学校从本级财政部门取得的各类财政拨款，包括：财政教育拨款、财政科研拨款、财政其他拨款。</w:t>
      </w:r>
    </w:p>
    <w:p w14:paraId="4A373031">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（二）事业收入：学校开展教学、科研及其辅助活动取得的收入。包括：</w:t>
      </w:r>
    </w:p>
    <w:p w14:paraId="3C39927B">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 1.教育事业收入：通过学历和非学历教育向学生个人或者单位收取的学费、住宿费、委托培养费、考试考务费、培训费和其他教育事业收入。按照国家有关规定应当上缴国库或者财政专户的资金，不计入教育事业收入；从财政专户核拨给学校的资金和经核准不上缴国库或财政专户的资金，计入教育事业收入。</w:t>
      </w:r>
    </w:p>
    <w:p w14:paraId="5FFF52D4">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 2.科研事业收入：通过承接科研项目、开展科研协作、进行科技咨询等取得的收入。不包括按照部门预算隶属关系从本级财政部门取得的财政拨款。</w:t>
      </w:r>
    </w:p>
    <w:p w14:paraId="3A289F1E">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（三）上级补助收入：从主管部门和上级单位取得的非财政补助收入。</w:t>
      </w:r>
    </w:p>
    <w:p w14:paraId="563BCA8E">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（四）附属单位上缴收入：附属独立核算单位按照有关规定上缴的收入。</w:t>
      </w:r>
    </w:p>
    <w:p w14:paraId="4733AAF9">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（五）经营收入：在教学、科研及其辅助活动之外，开展非独立核算经营活动取得的收入。</w:t>
      </w:r>
    </w:p>
    <w:p w14:paraId="79AAB3C3">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sz w:val="32"/>
          <w:szCs w:val="32"/>
        </w:rPr>
        <w:t>（六）其他收入：包括投资收益、利息收入、捐赠收入、非本级财政补助收入等。</w:t>
      </w:r>
    </w:p>
    <w:p w14:paraId="24BF3BA0">
      <w:pPr>
        <w:adjustRightInd w:val="0"/>
        <w:snapToGrid w:val="0"/>
        <w:spacing w:line="560" w:lineRule="exact"/>
        <w:jc w:val="both"/>
        <w:rPr>
          <w:rFonts w:hint="default" w:ascii="仿宋_GB2312" w:hAnsi="宋体" w:eastAsia="仿宋_GB2312" w:cs="宋体"/>
          <w:b w:val="0"/>
          <w:bCs w:val="0"/>
          <w:sz w:val="32"/>
          <w:szCs w:val="32"/>
          <w:lang w:val="en-US" w:eastAsia="zh-CN"/>
        </w:rPr>
      </w:pPr>
      <w:r>
        <w:rPr>
          <w:rFonts w:hint="eastAsia" w:ascii="仿宋_GB2312" w:hAnsi="宋体" w:eastAsia="仿宋_GB2312" w:cs="宋体"/>
          <w:b/>
          <w:bCs/>
          <w:sz w:val="32"/>
          <w:szCs w:val="32"/>
        </w:rPr>
        <w:t xml:space="preserve">第二十条 </w:t>
      </w:r>
      <w:r>
        <w:rPr>
          <w:rFonts w:hint="eastAsia" w:ascii="仿宋_GB2312" w:hAnsi="宋体" w:eastAsia="仿宋_GB2312" w:cs="宋体"/>
          <w:b w:val="0"/>
          <w:bCs w:val="0"/>
          <w:sz w:val="32"/>
          <w:szCs w:val="32"/>
        </w:rPr>
        <w:t>学校组织收入应当合法合规。各项收费应当严格执行国家规定的收费范围和标准，并使用合法票据;各项收入应当全部纳入学校预算，统一核算，统一管理,未纳入预算的收入不得安排支出</w:t>
      </w:r>
      <w:r>
        <w:rPr>
          <w:rFonts w:hint="eastAsia" w:ascii="仿宋_GB2312" w:hAnsi="宋体" w:eastAsia="仿宋_GB2312" w:cs="宋体"/>
          <w:b w:val="0"/>
          <w:bCs w:val="0"/>
          <w:sz w:val="32"/>
          <w:szCs w:val="32"/>
          <w:lang w:val="en-US" w:eastAsia="zh-CN"/>
        </w:rPr>
        <w:t>。</w:t>
      </w:r>
    </w:p>
    <w:p w14:paraId="575F1F4C">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二十一</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学校对按照规定上缴国库或者财政专户的资金，应当按照国库集中收缴的有关规定及时足额上缴，不得隐瞒、滞留、截留、占用、挪用、拖欠或坐支。</w:t>
      </w:r>
    </w:p>
    <w:p w14:paraId="77408CF5">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第五章 支出管理</w:t>
      </w:r>
    </w:p>
    <w:p w14:paraId="026C97DB">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二十二</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支出是指学校开展教学、科研及其他活动发生的资金耗费和损失。</w:t>
      </w:r>
    </w:p>
    <w:p w14:paraId="1B0A61FC">
      <w:pPr>
        <w:adjustRightInd w:val="0"/>
        <w:snapToGrid w:val="0"/>
        <w:spacing w:line="560" w:lineRule="exact"/>
        <w:jc w:val="both"/>
        <w:rPr>
          <w:rFonts w:hint="eastAsia" w:ascii="仿宋_GB2312" w:hAnsi="宋体" w:eastAsia="仿宋_GB2312" w:cs="宋体"/>
          <w:sz w:val="32"/>
          <w:szCs w:val="32"/>
          <w:lang w:eastAsia="zh-CN"/>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二十三</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学校支出包括</w:t>
      </w:r>
      <w:r>
        <w:rPr>
          <w:rFonts w:hint="eastAsia" w:ascii="仿宋_GB2312" w:hAnsi="宋体" w:eastAsia="仿宋_GB2312" w:cs="宋体"/>
          <w:sz w:val="32"/>
          <w:szCs w:val="32"/>
          <w:lang w:eastAsia="zh-CN"/>
        </w:rPr>
        <w:t>：</w:t>
      </w:r>
    </w:p>
    <w:p w14:paraId="29617999">
      <w:pPr>
        <w:adjustRightInd w:val="0"/>
        <w:snapToGrid w:val="0"/>
        <w:spacing w:line="560" w:lineRule="exact"/>
        <w:ind w:firstLine="640"/>
        <w:jc w:val="both"/>
        <w:rPr>
          <w:rFonts w:hint="eastAsia" w:ascii="仿宋_GB2312" w:hAnsi="宋体" w:eastAsia="仿宋_GB2312" w:cs="宋体"/>
          <w:sz w:val="32"/>
          <w:szCs w:val="32"/>
          <w:lang w:eastAsia="zh-CN"/>
        </w:rPr>
      </w:pPr>
      <w:r>
        <w:rPr>
          <w:rFonts w:hint="eastAsia" w:ascii="仿宋_GB2312" w:hAnsi="宋体" w:eastAsia="仿宋_GB2312" w:cs="宋体"/>
          <w:sz w:val="32"/>
          <w:szCs w:val="32"/>
          <w:lang w:eastAsia="zh-CN"/>
        </w:rPr>
        <w:t>（一）事业支出：学校开展教学、科研及其辅助活动发生的基本支出和项目支出。基本支出是指为保障学校正常运转、完成教学科研和其他日常工作任务所发生的支出，包括人员经费和公用经费；项目支出是指为完成特定的工作任务和事业发展目标所发生的支出。</w:t>
      </w:r>
    </w:p>
    <w:p w14:paraId="1C1B117D">
      <w:pPr>
        <w:adjustRightInd w:val="0"/>
        <w:snapToGrid w:val="0"/>
        <w:spacing w:line="560" w:lineRule="exact"/>
        <w:ind w:firstLine="640"/>
        <w:jc w:val="both"/>
        <w:rPr>
          <w:rFonts w:hint="eastAsia" w:ascii="仿宋_GB2312" w:hAnsi="宋体" w:eastAsia="仿宋_GB2312" w:cs="宋体"/>
          <w:sz w:val="32"/>
          <w:szCs w:val="32"/>
          <w:lang w:eastAsia="zh-CN"/>
        </w:rPr>
      </w:pPr>
      <w:r>
        <w:rPr>
          <w:rFonts w:hint="eastAsia" w:ascii="仿宋_GB2312" w:hAnsi="宋体" w:eastAsia="仿宋_GB2312" w:cs="宋体"/>
          <w:sz w:val="32"/>
          <w:szCs w:val="32"/>
          <w:lang w:eastAsia="zh-CN"/>
        </w:rPr>
        <w:t>（二）经营支出：在教学、科研及其辅助活动之外开展非独立核算经营活动发生的支出。经营支出应当与经营收入配比。</w:t>
      </w:r>
    </w:p>
    <w:p w14:paraId="6600B116">
      <w:pPr>
        <w:adjustRightInd w:val="0"/>
        <w:snapToGrid w:val="0"/>
        <w:spacing w:line="560" w:lineRule="exact"/>
        <w:ind w:firstLine="640"/>
        <w:jc w:val="both"/>
        <w:rPr>
          <w:rFonts w:hint="eastAsia" w:ascii="仿宋_GB2312" w:hAnsi="宋体" w:eastAsia="仿宋_GB2312" w:cs="宋体"/>
          <w:sz w:val="32"/>
          <w:szCs w:val="32"/>
          <w:lang w:eastAsia="zh-CN"/>
        </w:rPr>
      </w:pPr>
      <w:r>
        <w:rPr>
          <w:rFonts w:hint="eastAsia" w:ascii="仿宋_GB2312" w:hAnsi="宋体" w:eastAsia="仿宋_GB2312" w:cs="宋体"/>
          <w:sz w:val="32"/>
          <w:szCs w:val="32"/>
          <w:lang w:eastAsia="zh-CN"/>
        </w:rPr>
        <w:t>（三）对附属单位补助支出：用财政补助收入之外的收入对附属单位补助发生的支出。</w:t>
      </w:r>
    </w:p>
    <w:p w14:paraId="11AAF707">
      <w:pPr>
        <w:adjustRightInd w:val="0"/>
        <w:snapToGrid w:val="0"/>
        <w:spacing w:line="560" w:lineRule="exact"/>
        <w:ind w:firstLine="640"/>
        <w:jc w:val="both"/>
        <w:rPr>
          <w:rFonts w:hint="eastAsia" w:ascii="仿宋_GB2312" w:hAnsi="宋体" w:eastAsia="仿宋_GB2312" w:cs="宋体"/>
          <w:sz w:val="32"/>
          <w:szCs w:val="32"/>
          <w:lang w:eastAsia="zh-CN"/>
        </w:rPr>
      </w:pPr>
      <w:r>
        <w:rPr>
          <w:rFonts w:hint="eastAsia" w:ascii="仿宋_GB2312" w:hAnsi="宋体" w:eastAsia="仿宋_GB2312" w:cs="宋体"/>
          <w:sz w:val="32"/>
          <w:szCs w:val="32"/>
          <w:lang w:eastAsia="zh-CN"/>
        </w:rPr>
        <w:t>（四）上缴上级支出：按照财政部门和主管部门的规定上缴上级单位的支出。</w:t>
      </w:r>
    </w:p>
    <w:p w14:paraId="28DCF0D1">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sz w:val="32"/>
          <w:szCs w:val="32"/>
          <w:lang w:eastAsia="zh-CN"/>
        </w:rPr>
        <w:t>（五）其他支出：包括利息支出、捐赠支出等</w:t>
      </w:r>
      <w:r>
        <w:rPr>
          <w:rFonts w:hint="eastAsia" w:ascii="仿宋_GB2312" w:hAnsi="宋体" w:eastAsia="仿宋_GB2312" w:cs="宋体"/>
          <w:sz w:val="32"/>
          <w:szCs w:val="32"/>
        </w:rPr>
        <w:t>。</w:t>
      </w:r>
    </w:p>
    <w:p w14:paraId="1D86FC00">
      <w:pPr>
        <w:adjustRightInd w:val="0"/>
        <w:snapToGrid w:val="0"/>
        <w:spacing w:line="560" w:lineRule="exact"/>
        <w:jc w:val="both"/>
        <w:rPr>
          <w:rFonts w:hint="eastAsia" w:ascii="仿宋_GB2312" w:hAnsi="宋体" w:eastAsia="仿宋_GB2312" w:cs="宋体"/>
          <w:b w:val="0"/>
          <w:bCs w:val="0"/>
          <w:sz w:val="32"/>
          <w:szCs w:val="32"/>
          <w:lang w:eastAsia="zh-CN"/>
        </w:rPr>
      </w:pPr>
      <w:r>
        <w:rPr>
          <w:rFonts w:hint="eastAsia" w:ascii="仿宋_GB2312" w:hAnsi="宋体" w:eastAsia="仿宋_GB2312" w:cs="宋体"/>
          <w:b/>
          <w:bCs/>
          <w:sz w:val="32"/>
          <w:szCs w:val="32"/>
        </w:rPr>
        <w:t>第二十</w:t>
      </w:r>
      <w:r>
        <w:rPr>
          <w:rFonts w:hint="eastAsia" w:ascii="仿宋_GB2312" w:hAnsi="宋体" w:eastAsia="仿宋_GB2312" w:cs="宋体"/>
          <w:b/>
          <w:bCs/>
          <w:sz w:val="32"/>
          <w:szCs w:val="32"/>
          <w:lang w:val="en-US" w:eastAsia="zh-CN"/>
        </w:rPr>
        <w:t>四</w:t>
      </w:r>
      <w:r>
        <w:rPr>
          <w:rFonts w:hint="eastAsia" w:ascii="仿宋_GB2312" w:hAnsi="宋体" w:eastAsia="仿宋_GB2312" w:cs="宋体"/>
          <w:b/>
          <w:bCs/>
          <w:sz w:val="32"/>
          <w:szCs w:val="32"/>
        </w:rPr>
        <w:t xml:space="preserve">条 </w:t>
      </w:r>
      <w:r>
        <w:rPr>
          <w:rFonts w:hint="eastAsia" w:ascii="仿宋_GB2312" w:hAnsi="宋体" w:eastAsia="仿宋_GB2312" w:cs="宋体"/>
          <w:b w:val="0"/>
          <w:bCs w:val="0"/>
          <w:sz w:val="32"/>
          <w:szCs w:val="32"/>
        </w:rPr>
        <w:t>学校应当将各项支出全部纳入学校预算，实行项目库管理，建立健全支出管理制度。未纳入预算项目库的项目一律不得安排预算</w:t>
      </w:r>
      <w:r>
        <w:rPr>
          <w:rFonts w:hint="eastAsia" w:ascii="仿宋_GB2312" w:hAnsi="宋体" w:eastAsia="仿宋_GB2312" w:cs="宋体"/>
          <w:b w:val="0"/>
          <w:bCs w:val="0"/>
          <w:sz w:val="32"/>
          <w:szCs w:val="32"/>
          <w:lang w:eastAsia="zh-CN"/>
        </w:rPr>
        <w:t>。</w:t>
      </w:r>
    </w:p>
    <w:p w14:paraId="5CE20623">
      <w:pPr>
        <w:adjustRightInd w:val="0"/>
        <w:snapToGrid w:val="0"/>
        <w:spacing w:line="560" w:lineRule="exact"/>
        <w:jc w:val="both"/>
        <w:rPr>
          <w:rFonts w:hint="eastAsia" w:ascii="仿宋_GB2312" w:hAnsi="宋体" w:eastAsia="仿宋_GB2312" w:cs="宋体"/>
          <w:b w:val="0"/>
          <w:bCs w:val="0"/>
          <w:sz w:val="32"/>
          <w:szCs w:val="32"/>
          <w:lang w:eastAsia="zh-CN"/>
        </w:rPr>
      </w:pPr>
      <w:r>
        <w:rPr>
          <w:rFonts w:hint="eastAsia" w:ascii="仿宋_GB2312" w:hAnsi="宋体" w:eastAsia="仿宋_GB2312" w:cs="宋体"/>
          <w:b/>
          <w:bCs/>
          <w:sz w:val="32"/>
          <w:szCs w:val="32"/>
          <w:lang w:eastAsia="zh-CN"/>
        </w:rPr>
        <w:t>第二十</w:t>
      </w:r>
      <w:r>
        <w:rPr>
          <w:rFonts w:hint="eastAsia" w:ascii="仿宋_GB2312" w:hAnsi="宋体" w:eastAsia="仿宋_GB2312" w:cs="宋体"/>
          <w:b/>
          <w:bCs/>
          <w:sz w:val="32"/>
          <w:szCs w:val="32"/>
          <w:lang w:val="en-US" w:eastAsia="zh-CN"/>
        </w:rPr>
        <w:t>五</w:t>
      </w:r>
      <w:r>
        <w:rPr>
          <w:rFonts w:hint="eastAsia" w:ascii="仿宋_GB2312" w:hAnsi="宋体" w:eastAsia="仿宋_GB2312" w:cs="宋体"/>
          <w:b/>
          <w:bCs/>
          <w:sz w:val="32"/>
          <w:szCs w:val="32"/>
          <w:lang w:eastAsia="zh-CN"/>
        </w:rPr>
        <w:t>条</w:t>
      </w:r>
      <w:r>
        <w:rPr>
          <w:rFonts w:hint="eastAsia" w:ascii="仿宋_GB2312" w:hAnsi="宋体" w:eastAsia="仿宋_GB2312" w:cs="宋体"/>
          <w:b w:val="0"/>
          <w:bCs w:val="0"/>
          <w:sz w:val="32"/>
          <w:szCs w:val="32"/>
          <w:lang w:eastAsia="zh-CN"/>
        </w:rPr>
        <w:t xml:space="preserve"> 学校应当加强支出管理，厉行节约，不得虚列虚报。学校的支出应当严格执行国家有关财务规章制度规定的开支范围及开支标准，国家有关财务规章制度没有统一规定的，由学校结合本校情况规定。</w:t>
      </w:r>
    </w:p>
    <w:p w14:paraId="5669EC5A">
      <w:pPr>
        <w:adjustRightInd w:val="0"/>
        <w:snapToGrid w:val="0"/>
        <w:spacing w:line="560" w:lineRule="exact"/>
        <w:jc w:val="both"/>
        <w:rPr>
          <w:rFonts w:hint="eastAsia" w:ascii="仿宋_GB2312" w:hAnsi="宋体" w:eastAsia="仿宋_GB2312" w:cs="宋体"/>
          <w:b w:val="0"/>
          <w:bCs w:val="0"/>
          <w:sz w:val="32"/>
          <w:szCs w:val="32"/>
        </w:rPr>
      </w:pPr>
      <w:r>
        <w:rPr>
          <w:rFonts w:hint="eastAsia" w:ascii="仿宋_GB2312" w:hAnsi="宋体" w:eastAsia="仿宋_GB2312" w:cs="宋体"/>
          <w:b/>
          <w:bCs/>
          <w:sz w:val="32"/>
          <w:szCs w:val="32"/>
        </w:rPr>
        <w:t>第二十</w:t>
      </w:r>
      <w:r>
        <w:rPr>
          <w:rFonts w:hint="eastAsia" w:ascii="仿宋_GB2312" w:hAnsi="宋体" w:eastAsia="仿宋_GB2312" w:cs="宋体"/>
          <w:b/>
          <w:bCs/>
          <w:sz w:val="32"/>
          <w:szCs w:val="32"/>
          <w:lang w:val="en-US" w:eastAsia="zh-CN"/>
        </w:rPr>
        <w:t>六</w:t>
      </w:r>
      <w:r>
        <w:rPr>
          <w:rFonts w:hint="eastAsia" w:ascii="仿宋_GB2312" w:hAnsi="宋体" w:eastAsia="仿宋_GB2312" w:cs="宋体"/>
          <w:b/>
          <w:bCs/>
          <w:sz w:val="32"/>
          <w:szCs w:val="32"/>
        </w:rPr>
        <w:t xml:space="preserve">条 </w:t>
      </w:r>
      <w:r>
        <w:rPr>
          <w:rFonts w:hint="eastAsia" w:ascii="仿宋_GB2312" w:hAnsi="宋体" w:eastAsia="仿宋_GB2312" w:cs="宋体"/>
          <w:b w:val="0"/>
          <w:bCs w:val="0"/>
          <w:sz w:val="32"/>
          <w:szCs w:val="32"/>
        </w:rPr>
        <w:t>学校从财政部门和主管部门取得的有指定项目和用途的专项资金，应当专款专用、单独核算，并按照规定报送专项资金使用情况的报告，接受</w:t>
      </w:r>
      <w:r>
        <w:rPr>
          <w:rFonts w:hint="eastAsia" w:ascii="仿宋_GB2312" w:hAnsi="宋体" w:eastAsia="仿宋_GB2312" w:cs="宋体"/>
          <w:b w:val="0"/>
          <w:bCs w:val="0"/>
          <w:sz w:val="32"/>
          <w:szCs w:val="32"/>
          <w:lang w:val="en-US" w:eastAsia="zh-CN"/>
        </w:rPr>
        <w:t>主管部门</w:t>
      </w:r>
      <w:r>
        <w:rPr>
          <w:rFonts w:hint="eastAsia" w:ascii="仿宋_GB2312" w:hAnsi="宋体" w:eastAsia="仿宋_GB2312" w:cs="宋体"/>
          <w:b w:val="0"/>
          <w:bCs w:val="0"/>
          <w:sz w:val="32"/>
          <w:szCs w:val="32"/>
        </w:rPr>
        <w:t>检查、验收。</w:t>
      </w:r>
    </w:p>
    <w:p w14:paraId="1517CC72">
      <w:pPr>
        <w:adjustRightInd w:val="0"/>
        <w:snapToGrid w:val="0"/>
        <w:spacing w:line="560" w:lineRule="exact"/>
        <w:jc w:val="both"/>
        <w:rPr>
          <w:rFonts w:hint="eastAsia" w:ascii="仿宋_GB2312" w:hAnsi="宋体" w:eastAsia="仿宋_GB2312" w:cs="宋体"/>
          <w:b/>
          <w:bCs/>
          <w:sz w:val="32"/>
          <w:szCs w:val="32"/>
        </w:rPr>
      </w:pPr>
      <w:r>
        <w:rPr>
          <w:rFonts w:hint="eastAsia" w:ascii="仿宋_GB2312" w:hAnsi="宋体" w:eastAsia="仿宋_GB2312" w:cs="宋体"/>
          <w:b/>
          <w:bCs/>
          <w:sz w:val="32"/>
          <w:szCs w:val="32"/>
        </w:rPr>
        <w:t>第二十</w:t>
      </w:r>
      <w:r>
        <w:rPr>
          <w:rFonts w:hint="eastAsia" w:ascii="仿宋_GB2312" w:hAnsi="宋体" w:eastAsia="仿宋_GB2312" w:cs="宋体"/>
          <w:b/>
          <w:bCs/>
          <w:sz w:val="32"/>
          <w:szCs w:val="32"/>
          <w:lang w:val="en-US" w:eastAsia="zh-CN"/>
        </w:rPr>
        <w:t>七</w:t>
      </w:r>
      <w:r>
        <w:rPr>
          <w:rFonts w:hint="eastAsia" w:ascii="仿宋_GB2312" w:hAnsi="宋体" w:eastAsia="仿宋_GB2312" w:cs="宋体"/>
          <w:b/>
          <w:bCs/>
          <w:sz w:val="32"/>
          <w:szCs w:val="32"/>
        </w:rPr>
        <w:t xml:space="preserve">条 </w:t>
      </w:r>
      <w:r>
        <w:rPr>
          <w:rFonts w:hint="eastAsia" w:ascii="仿宋_GB2312" w:hAnsi="宋体" w:eastAsia="仿宋_GB2312" w:cs="宋体"/>
          <w:b w:val="0"/>
          <w:bCs w:val="0"/>
          <w:sz w:val="32"/>
          <w:szCs w:val="32"/>
        </w:rPr>
        <w:t>学校应当加强经济核算，可以根据开展教学、科研业务活动及其他活动的实际需要，实行成本核算。成本核算的具体办法按照国务院财政部门相关规定执行。</w:t>
      </w:r>
    </w:p>
    <w:p w14:paraId="4ED80E0F">
      <w:pPr>
        <w:adjustRightInd w:val="0"/>
        <w:snapToGrid w:val="0"/>
        <w:spacing w:line="560" w:lineRule="exact"/>
        <w:jc w:val="both"/>
        <w:rPr>
          <w:rFonts w:hint="eastAsia" w:ascii="仿宋_GB2312" w:hAnsi="宋体" w:eastAsia="仿宋_GB2312" w:cs="宋体"/>
          <w:b w:val="0"/>
          <w:bCs w:val="0"/>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二十八</w:t>
      </w:r>
      <w:r>
        <w:rPr>
          <w:rFonts w:hint="eastAsia" w:ascii="仿宋_GB2312" w:hAnsi="宋体" w:eastAsia="仿宋_GB2312" w:cs="宋体"/>
          <w:b/>
          <w:bCs/>
          <w:sz w:val="32"/>
          <w:szCs w:val="32"/>
        </w:rPr>
        <w:t xml:space="preserve">条 </w:t>
      </w:r>
      <w:r>
        <w:rPr>
          <w:rFonts w:hint="eastAsia" w:ascii="仿宋_GB2312" w:hAnsi="宋体" w:eastAsia="仿宋_GB2312" w:cs="宋体"/>
          <w:b w:val="0"/>
          <w:bCs w:val="0"/>
          <w:sz w:val="32"/>
          <w:szCs w:val="32"/>
        </w:rPr>
        <w:t>学校应当严格执行国库集中支付制度和政府采购制度等有关规定。依法加强各类票据管理，确保票据来源合法、内容真实、使用正确，不得使用虚假票据。</w:t>
      </w:r>
    </w:p>
    <w:p w14:paraId="20B52CB3">
      <w:pPr>
        <w:spacing w:line="560" w:lineRule="exact"/>
        <w:ind w:firstLine="0" w:firstLineChars="0"/>
        <w:jc w:val="center"/>
        <w:rPr>
          <w:rFonts w:hint="eastAsia" w:ascii="仿宋_GB2312" w:hAnsi="宋体" w:eastAsia="黑体" w:cs="宋体"/>
          <w:bCs/>
          <w:kern w:val="44"/>
          <w:sz w:val="32"/>
          <w:szCs w:val="44"/>
          <w:highlight w:val="none"/>
        </w:rPr>
      </w:pPr>
      <w:r>
        <w:rPr>
          <w:rFonts w:hint="eastAsia" w:ascii="仿宋_GB2312" w:hAnsi="宋体" w:eastAsia="黑体" w:cs="宋体"/>
          <w:bCs/>
          <w:kern w:val="44"/>
          <w:sz w:val="32"/>
          <w:szCs w:val="44"/>
          <w:highlight w:val="none"/>
        </w:rPr>
        <w:t>第六章 经费申报、审批程序</w:t>
      </w:r>
    </w:p>
    <w:p w14:paraId="35251455">
      <w:pPr>
        <w:adjustRightInd w:val="0"/>
        <w:snapToGrid w:val="0"/>
        <w:spacing w:line="560" w:lineRule="exact"/>
        <w:jc w:val="both"/>
        <w:rPr>
          <w:rFonts w:hint="eastAsia" w:ascii="仿宋_GB2312" w:hAnsi="宋体" w:eastAsia="仿宋_GB2312" w:cs="宋体"/>
          <w:b w:val="0"/>
          <w:bCs w:val="0"/>
          <w:sz w:val="32"/>
          <w:szCs w:val="32"/>
        </w:rPr>
      </w:pPr>
      <w:r>
        <w:rPr>
          <w:rFonts w:hint="eastAsia" w:ascii="仿宋_GB2312" w:hAnsi="宋体" w:eastAsia="仿宋_GB2312" w:cs="宋体"/>
          <w:b/>
          <w:bCs/>
          <w:sz w:val="32"/>
          <w:szCs w:val="32"/>
        </w:rPr>
        <w:t>第二十</w:t>
      </w:r>
      <w:r>
        <w:rPr>
          <w:rFonts w:hint="eastAsia" w:ascii="仿宋_GB2312" w:hAnsi="宋体" w:eastAsia="仿宋_GB2312" w:cs="宋体"/>
          <w:b/>
          <w:bCs/>
          <w:sz w:val="32"/>
          <w:szCs w:val="32"/>
          <w:lang w:val="en-US" w:eastAsia="zh-CN"/>
        </w:rPr>
        <w:t>九</w:t>
      </w:r>
      <w:r>
        <w:rPr>
          <w:rFonts w:hint="eastAsia" w:ascii="仿宋_GB2312" w:hAnsi="宋体" w:eastAsia="仿宋_GB2312" w:cs="宋体"/>
          <w:b/>
          <w:bCs/>
          <w:sz w:val="32"/>
          <w:szCs w:val="32"/>
        </w:rPr>
        <w:t>条</w:t>
      </w:r>
      <w:r>
        <w:rPr>
          <w:rFonts w:hint="eastAsia" w:ascii="仿宋_GB2312" w:hAnsi="宋体" w:eastAsia="仿宋_GB2312" w:cs="宋体"/>
          <w:b w:val="0"/>
          <w:bCs w:val="0"/>
          <w:sz w:val="32"/>
          <w:szCs w:val="32"/>
        </w:rPr>
        <w:t xml:space="preserve"> 学校基本支出经费管理审批按照学校制定的</w:t>
      </w:r>
      <w:r>
        <w:rPr>
          <w:rFonts w:hint="eastAsia" w:ascii="仿宋_GB2312" w:hAnsi="宋体" w:eastAsia="仿宋_GB2312" w:cs="宋体"/>
          <w:b w:val="0"/>
          <w:bCs w:val="0"/>
          <w:sz w:val="32"/>
          <w:szCs w:val="32"/>
          <w:lang w:eastAsia="zh-CN"/>
        </w:rPr>
        <w:t>《</w:t>
      </w:r>
      <w:r>
        <w:rPr>
          <w:rFonts w:hint="eastAsia" w:ascii="仿宋_GB2312" w:hAnsi="宋体" w:eastAsia="仿宋_GB2312" w:cs="宋体"/>
          <w:b w:val="0"/>
          <w:bCs w:val="0"/>
          <w:sz w:val="32"/>
          <w:szCs w:val="32"/>
        </w:rPr>
        <w:t>甘肃交通职业技术学院经费支出审批管理办法</w:t>
      </w:r>
      <w:r>
        <w:rPr>
          <w:rFonts w:hint="eastAsia" w:ascii="仿宋_GB2312" w:hAnsi="宋体" w:eastAsia="仿宋_GB2312" w:cs="宋体"/>
          <w:b w:val="0"/>
          <w:bCs w:val="0"/>
          <w:sz w:val="32"/>
          <w:szCs w:val="32"/>
          <w:lang w:eastAsia="zh-CN"/>
        </w:rPr>
        <w:t>》</w:t>
      </w:r>
      <w:r>
        <w:rPr>
          <w:rFonts w:hint="eastAsia" w:ascii="仿宋_GB2312" w:hAnsi="宋体" w:eastAsia="仿宋_GB2312" w:cs="宋体"/>
          <w:b w:val="0"/>
          <w:bCs w:val="0"/>
          <w:sz w:val="32"/>
          <w:szCs w:val="32"/>
        </w:rPr>
        <w:t>执行。学校差旅费管理审批按照</w:t>
      </w:r>
      <w:r>
        <w:rPr>
          <w:rFonts w:hint="eastAsia" w:ascii="仿宋_GB2312" w:hAnsi="宋体" w:eastAsia="仿宋_GB2312" w:cs="宋体"/>
          <w:b w:val="0"/>
          <w:bCs w:val="0"/>
          <w:sz w:val="32"/>
          <w:szCs w:val="32"/>
          <w:lang w:eastAsia="zh-CN"/>
        </w:rPr>
        <w:t>《甘肃交通职业技术学院差旅费管理办法》</w:t>
      </w:r>
      <w:r>
        <w:rPr>
          <w:rFonts w:hint="eastAsia" w:ascii="仿宋_GB2312" w:hAnsi="宋体" w:eastAsia="仿宋_GB2312" w:cs="宋体"/>
          <w:b w:val="0"/>
          <w:bCs w:val="0"/>
          <w:sz w:val="32"/>
          <w:szCs w:val="32"/>
        </w:rPr>
        <w:t>执行。</w:t>
      </w:r>
    </w:p>
    <w:p w14:paraId="261B77F5">
      <w:pPr>
        <w:adjustRightInd w:val="0"/>
        <w:snapToGrid w:val="0"/>
        <w:spacing w:line="560" w:lineRule="exact"/>
        <w:jc w:val="both"/>
        <w:rPr>
          <w:rFonts w:hint="eastAsia" w:ascii="仿宋_GB2312" w:hAnsi="宋体" w:eastAsia="仿宋_GB2312" w:cs="宋体"/>
          <w:b w:val="0"/>
          <w:bCs w:val="0"/>
          <w:sz w:val="32"/>
          <w:szCs w:val="32"/>
          <w:lang w:eastAsia="zh-CN"/>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三十</w:t>
      </w:r>
      <w:r>
        <w:rPr>
          <w:rFonts w:hint="eastAsia" w:ascii="仿宋_GB2312" w:hAnsi="宋体" w:eastAsia="仿宋_GB2312" w:cs="宋体"/>
          <w:b/>
          <w:bCs/>
          <w:sz w:val="32"/>
          <w:szCs w:val="32"/>
        </w:rPr>
        <w:t>条</w:t>
      </w:r>
      <w:r>
        <w:rPr>
          <w:rFonts w:hint="eastAsia" w:ascii="仿宋_GB2312" w:hAnsi="宋体" w:eastAsia="仿宋_GB2312" w:cs="宋体"/>
          <w:b/>
          <w:bCs/>
          <w:sz w:val="32"/>
          <w:szCs w:val="32"/>
          <w:lang w:val="en-US" w:eastAsia="zh-CN"/>
        </w:rPr>
        <w:t xml:space="preserve"> </w:t>
      </w:r>
      <w:r>
        <w:rPr>
          <w:rFonts w:hint="eastAsia" w:ascii="仿宋_GB2312" w:hAnsi="宋体" w:eastAsia="仿宋_GB2312" w:cs="宋体"/>
          <w:b w:val="0"/>
          <w:bCs w:val="0"/>
          <w:sz w:val="32"/>
          <w:szCs w:val="32"/>
          <w:highlight w:val="none"/>
        </w:rPr>
        <w:t>学校基本建设投资的财务管理按照</w:t>
      </w:r>
      <w:r>
        <w:rPr>
          <w:rFonts w:hint="eastAsia" w:ascii="仿宋_GB2312" w:hAnsi="宋体" w:eastAsia="仿宋_GB2312" w:cs="宋体"/>
          <w:b w:val="0"/>
          <w:bCs w:val="0"/>
          <w:sz w:val="32"/>
          <w:szCs w:val="32"/>
          <w:highlight w:val="none"/>
          <w:lang w:eastAsia="zh-CN"/>
        </w:rPr>
        <w:t>《甘肃交通职业技术学院</w:t>
      </w:r>
      <w:r>
        <w:rPr>
          <w:rFonts w:hint="eastAsia" w:ascii="仿宋_GB2312" w:hAnsi="宋体" w:eastAsia="仿宋_GB2312" w:cs="宋体"/>
          <w:b w:val="0"/>
          <w:bCs w:val="0"/>
          <w:sz w:val="32"/>
          <w:szCs w:val="32"/>
          <w:highlight w:val="none"/>
          <w:lang w:val="en-US" w:eastAsia="zh-CN"/>
        </w:rPr>
        <w:t>基本建设项目</w:t>
      </w:r>
      <w:r>
        <w:rPr>
          <w:rFonts w:hint="eastAsia" w:ascii="仿宋_GB2312" w:hAnsi="宋体" w:eastAsia="仿宋_GB2312" w:cs="宋体"/>
          <w:b w:val="0"/>
          <w:bCs w:val="0"/>
          <w:sz w:val="32"/>
          <w:szCs w:val="32"/>
          <w:highlight w:val="none"/>
          <w:lang w:eastAsia="zh-CN"/>
        </w:rPr>
        <w:t>管理办法》</w:t>
      </w:r>
      <w:r>
        <w:rPr>
          <w:rFonts w:hint="eastAsia" w:ascii="仿宋_GB2312" w:hAnsi="宋体" w:eastAsia="仿宋_GB2312" w:cs="宋体"/>
          <w:b w:val="0"/>
          <w:bCs w:val="0"/>
          <w:sz w:val="32"/>
          <w:szCs w:val="32"/>
          <w:highlight w:val="none"/>
        </w:rPr>
        <w:t>执行</w:t>
      </w:r>
      <w:r>
        <w:rPr>
          <w:rFonts w:hint="eastAsia" w:ascii="仿宋_GB2312" w:hAnsi="宋体" w:eastAsia="仿宋_GB2312" w:cs="宋体"/>
          <w:b w:val="0"/>
          <w:bCs w:val="0"/>
          <w:sz w:val="32"/>
          <w:szCs w:val="32"/>
          <w:lang w:eastAsia="zh-CN"/>
        </w:rPr>
        <w:t>。</w:t>
      </w:r>
    </w:p>
    <w:p w14:paraId="708010CD">
      <w:pPr>
        <w:adjustRightInd w:val="0"/>
        <w:snapToGrid w:val="0"/>
        <w:spacing w:line="560" w:lineRule="exact"/>
        <w:jc w:val="both"/>
        <w:rPr>
          <w:rFonts w:hint="eastAsia" w:ascii="仿宋_GB2312" w:hAnsi="宋体" w:eastAsia="仿宋_GB2312" w:cs="宋体"/>
          <w:b w:val="0"/>
          <w:bCs w:val="0"/>
          <w:sz w:val="32"/>
          <w:szCs w:val="32"/>
          <w:highlight w:val="none"/>
          <w:lang w:eastAsia="zh-CN"/>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三十一</w:t>
      </w:r>
      <w:r>
        <w:rPr>
          <w:rFonts w:hint="eastAsia" w:ascii="仿宋_GB2312" w:hAnsi="宋体" w:eastAsia="仿宋_GB2312" w:cs="宋体"/>
          <w:b/>
          <w:bCs/>
          <w:sz w:val="32"/>
          <w:szCs w:val="32"/>
        </w:rPr>
        <w:t>条</w:t>
      </w:r>
      <w:r>
        <w:rPr>
          <w:rFonts w:hint="eastAsia" w:ascii="仿宋_GB2312" w:hAnsi="宋体" w:eastAsia="仿宋_GB2312" w:cs="宋体"/>
          <w:b w:val="0"/>
          <w:bCs w:val="0"/>
          <w:sz w:val="32"/>
          <w:szCs w:val="32"/>
        </w:rPr>
        <w:t xml:space="preserve"> 学校项目支出经费管理审批</w:t>
      </w:r>
      <w:r>
        <w:rPr>
          <w:rFonts w:hint="eastAsia" w:ascii="仿宋_GB2312" w:hAnsi="宋体" w:eastAsia="仿宋_GB2312" w:cs="宋体"/>
          <w:b w:val="0"/>
          <w:bCs w:val="0"/>
          <w:sz w:val="32"/>
          <w:szCs w:val="32"/>
          <w:lang w:val="en-US" w:eastAsia="zh-CN"/>
        </w:rPr>
        <w:t>按</w:t>
      </w:r>
      <w:r>
        <w:rPr>
          <w:rFonts w:hint="eastAsia" w:ascii="仿宋_GB2312" w:hAnsi="宋体" w:eastAsia="仿宋_GB2312" w:cs="宋体"/>
          <w:b w:val="0"/>
          <w:bCs w:val="0"/>
          <w:sz w:val="32"/>
          <w:szCs w:val="32"/>
          <w:lang w:eastAsia="zh-CN"/>
        </w:rPr>
        <w:t>甘肃交通职业技术学院</w:t>
      </w:r>
      <w:r>
        <w:rPr>
          <w:rFonts w:hint="eastAsia" w:ascii="仿宋_GB2312" w:hAnsi="宋体" w:eastAsia="仿宋_GB2312" w:cs="宋体"/>
          <w:b w:val="0"/>
          <w:bCs w:val="0"/>
          <w:sz w:val="32"/>
          <w:szCs w:val="32"/>
          <w:lang w:val="en-US" w:eastAsia="zh-CN"/>
        </w:rPr>
        <w:t>各</w:t>
      </w:r>
      <w:r>
        <w:rPr>
          <w:rFonts w:hint="eastAsia" w:ascii="仿宋_GB2312" w:hAnsi="宋体" w:eastAsia="仿宋_GB2312" w:cs="宋体"/>
          <w:b w:val="0"/>
          <w:bCs w:val="0"/>
          <w:sz w:val="32"/>
          <w:szCs w:val="32"/>
          <w:lang w:eastAsia="zh-CN"/>
        </w:rPr>
        <w:t>专项资金管理办法</w:t>
      </w:r>
      <w:r>
        <w:rPr>
          <w:rFonts w:hint="eastAsia" w:ascii="仿宋_GB2312" w:hAnsi="宋体" w:eastAsia="仿宋_GB2312" w:cs="宋体"/>
          <w:b w:val="0"/>
          <w:bCs w:val="0"/>
          <w:sz w:val="32"/>
          <w:szCs w:val="32"/>
        </w:rPr>
        <w:t>执行</w:t>
      </w:r>
      <w:r>
        <w:rPr>
          <w:rFonts w:hint="eastAsia" w:ascii="仿宋_GB2312" w:hAnsi="宋体" w:eastAsia="仿宋_GB2312" w:cs="宋体"/>
          <w:b w:val="0"/>
          <w:bCs w:val="0"/>
          <w:sz w:val="32"/>
          <w:szCs w:val="32"/>
          <w:lang w:eastAsia="zh-CN"/>
        </w:rPr>
        <w:t>。</w:t>
      </w:r>
    </w:p>
    <w:p w14:paraId="7C01D0C9">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eastAsia="仿宋_GB2312"/>
          <w:sz w:val="32"/>
          <w:szCs w:val="32"/>
          <w:highlight w:val="none"/>
        </w:rPr>
      </w:pPr>
      <w:r>
        <w:rPr>
          <w:rFonts w:hint="eastAsia" w:ascii="仿宋_GB2312" w:eastAsia="仿宋_GB2312"/>
          <w:b/>
          <w:bCs/>
          <w:sz w:val="32"/>
          <w:szCs w:val="32"/>
          <w:highlight w:val="none"/>
        </w:rPr>
        <w:t>第</w:t>
      </w:r>
      <w:r>
        <w:rPr>
          <w:rFonts w:hint="eastAsia" w:ascii="仿宋_GB2312" w:eastAsia="仿宋_GB2312"/>
          <w:b/>
          <w:bCs/>
          <w:sz w:val="32"/>
          <w:szCs w:val="32"/>
          <w:highlight w:val="none"/>
          <w:lang w:eastAsia="zh-CN"/>
        </w:rPr>
        <w:t>三十</w:t>
      </w:r>
      <w:r>
        <w:rPr>
          <w:rFonts w:hint="eastAsia" w:ascii="仿宋_GB2312" w:eastAsia="仿宋_GB2312"/>
          <w:b/>
          <w:bCs/>
          <w:sz w:val="32"/>
          <w:szCs w:val="32"/>
          <w:highlight w:val="none"/>
          <w:lang w:val="en-US" w:eastAsia="zh-CN"/>
        </w:rPr>
        <w:t>二</w:t>
      </w:r>
      <w:r>
        <w:rPr>
          <w:rFonts w:hint="eastAsia" w:ascii="仿宋_GB2312" w:eastAsia="仿宋_GB2312"/>
          <w:b/>
          <w:bCs/>
          <w:sz w:val="32"/>
          <w:szCs w:val="32"/>
          <w:highlight w:val="none"/>
        </w:rPr>
        <w:t>条</w:t>
      </w:r>
      <w:r>
        <w:rPr>
          <w:rFonts w:hint="eastAsia" w:ascii="仿宋_GB2312" w:eastAsia="仿宋_GB2312"/>
          <w:sz w:val="32"/>
          <w:szCs w:val="32"/>
          <w:highlight w:val="none"/>
        </w:rPr>
        <w:t xml:space="preserve"> 教职工</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学生</w:t>
      </w:r>
      <w:r>
        <w:rPr>
          <w:rFonts w:hint="eastAsia" w:ascii="仿宋_GB2312" w:eastAsia="仿宋_GB2312"/>
          <w:sz w:val="32"/>
          <w:szCs w:val="32"/>
          <w:highlight w:val="none"/>
        </w:rPr>
        <w:t>办理有关事宜取得的原始凭证，必须内容真实，数字准确。</w:t>
      </w:r>
      <w:r>
        <w:rPr>
          <w:rFonts w:hint="eastAsia" w:ascii="仿宋_GB2312" w:eastAsia="仿宋_GB2312"/>
          <w:sz w:val="32"/>
          <w:szCs w:val="32"/>
          <w:highlight w:val="none"/>
          <w:lang w:eastAsia="zh-CN"/>
        </w:rPr>
        <w:t>财务处</w:t>
      </w:r>
      <w:r>
        <w:rPr>
          <w:rFonts w:hint="eastAsia" w:ascii="仿宋_GB2312" w:eastAsia="仿宋_GB2312"/>
          <w:sz w:val="32"/>
          <w:szCs w:val="32"/>
          <w:highlight w:val="none"/>
        </w:rPr>
        <w:t>对不真实、不准确、不合法的原始凭证有权不予受理。资金支付按照甘肃省财政厅资金支付管理的相关规定，一律采用银行转账或国库集中支付，不予支付现金。</w:t>
      </w:r>
    </w:p>
    <w:p w14:paraId="3865C9C3">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宋体" w:eastAsia="仿宋_GB2312" w:cs="宋体"/>
          <w:b w:val="0"/>
          <w:bCs w:val="0"/>
          <w:sz w:val="32"/>
          <w:szCs w:val="32"/>
        </w:rPr>
      </w:pPr>
      <w:r>
        <w:rPr>
          <w:rFonts w:hint="eastAsia" w:ascii="仿宋_GB2312" w:eastAsia="仿宋_GB2312"/>
          <w:b/>
          <w:bCs/>
          <w:sz w:val="32"/>
          <w:szCs w:val="32"/>
          <w:highlight w:val="none"/>
          <w:lang w:val="en-US" w:eastAsia="zh-CN"/>
        </w:rPr>
        <w:t xml:space="preserve">第三十三条 </w:t>
      </w:r>
      <w:r>
        <w:rPr>
          <w:rFonts w:hint="eastAsia" w:ascii="仿宋_GB2312" w:eastAsia="仿宋_GB2312"/>
          <w:sz w:val="32"/>
          <w:szCs w:val="32"/>
          <w:highlight w:val="none"/>
        </w:rPr>
        <w:t>对列入省级公务卡强制结算目录的办公费、印刷费、咨询费、手续费、水电费、邮电费、物业管理费、差旅费、维修（护）费、租赁费、会议费、培训费、公务招待费、专用材料费、公务用车运行维护费及其他可使用银行卡结算的费用，一律使用公务卡结算。</w:t>
      </w:r>
    </w:p>
    <w:p w14:paraId="51A03522">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w:t>
      </w:r>
      <w:r>
        <w:rPr>
          <w:rFonts w:hint="eastAsia" w:ascii="仿宋_GB2312" w:hAnsi="宋体" w:eastAsia="黑体" w:cs="宋体"/>
          <w:bCs/>
          <w:kern w:val="44"/>
          <w:sz w:val="32"/>
          <w:szCs w:val="44"/>
          <w:lang w:val="en-US" w:eastAsia="zh-CN"/>
        </w:rPr>
        <w:t>七</w:t>
      </w:r>
      <w:r>
        <w:rPr>
          <w:rFonts w:hint="eastAsia" w:ascii="仿宋_GB2312" w:hAnsi="宋体" w:eastAsia="黑体" w:cs="宋体"/>
          <w:bCs/>
          <w:kern w:val="44"/>
          <w:sz w:val="32"/>
          <w:szCs w:val="44"/>
        </w:rPr>
        <w:t>章 结转和结余管理</w:t>
      </w:r>
    </w:p>
    <w:p w14:paraId="689E5D33">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三十四</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结转和结余是指学校年度收入与支出相抵后的余额。</w:t>
      </w:r>
    </w:p>
    <w:p w14:paraId="76DFDCA2">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结转资金是指当年预算已执行但未完成，或者因故未执行，下一年度需要按照原用途继续使用的资金。</w:t>
      </w:r>
    </w:p>
    <w:p w14:paraId="1A68034D">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结余资金是指当年预算工作目标已完成，或者因故终止，当年剩余的资金。</w:t>
      </w:r>
    </w:p>
    <w:p w14:paraId="032D9373">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sz w:val="32"/>
          <w:szCs w:val="32"/>
        </w:rPr>
        <w:t>经营收支结转和结余应当单独反映。</w:t>
      </w:r>
    </w:p>
    <w:p w14:paraId="172AE703">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三十五</w:t>
      </w:r>
      <w:r>
        <w:rPr>
          <w:rFonts w:hint="eastAsia" w:ascii="仿宋_GB2312" w:hAnsi="宋体" w:eastAsia="仿宋_GB2312" w:cs="宋体"/>
          <w:b/>
          <w:bCs/>
          <w:sz w:val="32"/>
          <w:szCs w:val="32"/>
        </w:rPr>
        <w:t xml:space="preserve">条 </w:t>
      </w:r>
      <w:r>
        <w:rPr>
          <w:rFonts w:hint="eastAsia" w:ascii="仿宋_GB2312" w:hAnsi="宋体" w:eastAsia="仿宋_GB2312" w:cs="宋体"/>
          <w:b w:val="0"/>
          <w:bCs w:val="0"/>
          <w:sz w:val="32"/>
          <w:szCs w:val="32"/>
        </w:rPr>
        <w:t>学校财政拨款结转和结余的管理，应当按照《甘肃省财政厅省级部门财政结转结余资金管理办法》(甘财预〔2022〕62号)、</w:t>
      </w:r>
      <w:r>
        <w:rPr>
          <w:rFonts w:hint="eastAsia" w:ascii="仿宋_GB2312" w:hAnsi="宋体" w:eastAsia="仿宋_GB2312" w:cs="宋体"/>
          <w:b w:val="0"/>
          <w:bCs w:val="0"/>
          <w:sz w:val="32"/>
          <w:szCs w:val="32"/>
          <w:lang w:eastAsia="zh-CN"/>
        </w:rPr>
        <w:t>甘肃交通职业技术学院</w:t>
      </w:r>
      <w:r>
        <w:rPr>
          <w:rFonts w:hint="eastAsia" w:ascii="仿宋_GB2312" w:hAnsi="宋体" w:eastAsia="仿宋_GB2312" w:cs="宋体"/>
          <w:b w:val="0"/>
          <w:bCs w:val="0"/>
          <w:sz w:val="32"/>
          <w:szCs w:val="32"/>
          <w:lang w:val="en-US" w:eastAsia="zh-CN"/>
        </w:rPr>
        <w:t>各</w:t>
      </w:r>
      <w:r>
        <w:rPr>
          <w:rFonts w:hint="eastAsia" w:ascii="仿宋_GB2312" w:hAnsi="宋体" w:eastAsia="仿宋_GB2312" w:cs="宋体"/>
          <w:b w:val="0"/>
          <w:bCs w:val="0"/>
          <w:sz w:val="32"/>
          <w:szCs w:val="32"/>
          <w:lang w:eastAsia="zh-CN"/>
        </w:rPr>
        <w:t>专项资金管理办法</w:t>
      </w:r>
      <w:r>
        <w:rPr>
          <w:rFonts w:hint="eastAsia" w:ascii="仿宋_GB2312" w:hAnsi="宋体" w:eastAsia="仿宋_GB2312" w:cs="宋体"/>
          <w:b w:val="0"/>
          <w:bCs w:val="0"/>
          <w:sz w:val="32"/>
          <w:szCs w:val="32"/>
        </w:rPr>
        <w:t>及</w:t>
      </w:r>
      <w:r>
        <w:rPr>
          <w:rFonts w:hint="eastAsia" w:ascii="仿宋_GB2312" w:hAnsi="宋体" w:eastAsia="仿宋_GB2312" w:cs="宋体"/>
          <w:b w:val="0"/>
          <w:bCs w:val="0"/>
          <w:sz w:val="32"/>
          <w:szCs w:val="32"/>
          <w:lang w:val="en-US" w:eastAsia="zh-CN"/>
        </w:rPr>
        <w:t>甘肃省</w:t>
      </w:r>
      <w:r>
        <w:rPr>
          <w:rFonts w:hint="eastAsia" w:ascii="仿宋_GB2312" w:hAnsi="宋体" w:eastAsia="仿宋_GB2312" w:cs="宋体"/>
          <w:b w:val="0"/>
          <w:bCs w:val="0"/>
          <w:sz w:val="32"/>
          <w:szCs w:val="32"/>
        </w:rPr>
        <w:t>和</w:t>
      </w:r>
      <w:r>
        <w:rPr>
          <w:rFonts w:hint="eastAsia" w:ascii="仿宋_GB2312" w:hAnsi="宋体" w:eastAsia="仿宋_GB2312" w:cs="宋体"/>
          <w:b w:val="0"/>
          <w:bCs w:val="0"/>
          <w:sz w:val="32"/>
          <w:szCs w:val="32"/>
          <w:lang w:val="en-US" w:eastAsia="zh-CN"/>
        </w:rPr>
        <w:t>国家</w:t>
      </w:r>
      <w:r>
        <w:rPr>
          <w:rFonts w:hint="eastAsia" w:ascii="仿宋_GB2312" w:hAnsi="宋体" w:eastAsia="仿宋_GB2312" w:cs="宋体"/>
          <w:b w:val="0"/>
          <w:bCs w:val="0"/>
          <w:sz w:val="32"/>
          <w:szCs w:val="32"/>
        </w:rPr>
        <w:t>相关规定执行。</w:t>
      </w:r>
    </w:p>
    <w:p w14:paraId="067E67DD">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lang w:val="en-US" w:eastAsia="zh-CN"/>
        </w:rPr>
        <w:t>第三十六条</w:t>
      </w:r>
      <w:r>
        <w:rPr>
          <w:rFonts w:hint="eastAsia" w:ascii="仿宋_GB2312" w:hAnsi="宋体" w:eastAsia="仿宋_GB2312" w:cs="宋体"/>
          <w:sz w:val="32"/>
          <w:szCs w:val="32"/>
          <w:lang w:val="en-US" w:eastAsia="zh-CN"/>
        </w:rPr>
        <w:t xml:space="preserve"> 学校</w:t>
      </w:r>
      <w:r>
        <w:rPr>
          <w:rFonts w:hint="eastAsia" w:ascii="仿宋_GB2312" w:hAnsi="宋体" w:eastAsia="仿宋_GB2312" w:cs="宋体"/>
          <w:sz w:val="32"/>
          <w:szCs w:val="32"/>
        </w:rPr>
        <w:t>非财政拨款结转按照规定结转下一年度继续使用。非财政拨款结余可以按照国家有关规定提取职工福利基金，剩余部分用于弥补以后年度单位收支差额；国家另有规定的，从其规定。</w:t>
      </w:r>
    </w:p>
    <w:p w14:paraId="4CC03FF8">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highlight w:val="none"/>
        </w:rPr>
        <w:t>第</w:t>
      </w:r>
      <w:r>
        <w:rPr>
          <w:rFonts w:hint="eastAsia" w:ascii="仿宋_GB2312" w:hAnsi="宋体" w:eastAsia="仿宋_GB2312" w:cs="宋体"/>
          <w:b/>
          <w:bCs/>
          <w:sz w:val="32"/>
          <w:szCs w:val="32"/>
          <w:highlight w:val="none"/>
          <w:lang w:val="en-US" w:eastAsia="zh-CN"/>
        </w:rPr>
        <w:t>三十七</w:t>
      </w:r>
      <w:r>
        <w:rPr>
          <w:rFonts w:hint="eastAsia" w:ascii="仿宋_GB2312" w:hAnsi="宋体" w:eastAsia="仿宋_GB2312" w:cs="宋体"/>
          <w:b/>
          <w:bCs/>
          <w:sz w:val="32"/>
          <w:szCs w:val="32"/>
          <w:highlight w:val="none"/>
        </w:rPr>
        <w:t>条</w:t>
      </w:r>
      <w:r>
        <w:rPr>
          <w:rFonts w:hint="eastAsia" w:ascii="仿宋_GB2312" w:hAnsi="宋体" w:eastAsia="仿宋_GB2312" w:cs="宋体"/>
          <w:sz w:val="32"/>
          <w:szCs w:val="32"/>
          <w:highlight w:val="none"/>
          <w:lang w:val="en-US" w:eastAsia="zh-CN"/>
        </w:rPr>
        <w:t xml:space="preserve"> </w:t>
      </w:r>
      <w:r>
        <w:rPr>
          <w:rFonts w:hint="eastAsia" w:ascii="仿宋_GB2312" w:hAnsi="宋体" w:eastAsia="仿宋_GB2312" w:cs="宋体"/>
          <w:sz w:val="32"/>
          <w:szCs w:val="32"/>
          <w:highlight w:val="none"/>
        </w:rPr>
        <w:t>学校应当加强非财政拨款结余的管理，盘活存量，统筹安排、合理使用，支出不得超出非财政拨款结余规模。</w:t>
      </w:r>
    </w:p>
    <w:p w14:paraId="3A634EE6">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w:t>
      </w:r>
      <w:r>
        <w:rPr>
          <w:rFonts w:hint="eastAsia" w:ascii="仿宋_GB2312" w:hAnsi="宋体" w:eastAsia="黑体" w:cs="宋体"/>
          <w:bCs/>
          <w:kern w:val="44"/>
          <w:sz w:val="32"/>
          <w:szCs w:val="44"/>
          <w:lang w:val="en-US" w:eastAsia="zh-CN"/>
        </w:rPr>
        <w:t>八</w:t>
      </w:r>
      <w:r>
        <w:rPr>
          <w:rFonts w:hint="eastAsia" w:ascii="仿宋_GB2312" w:hAnsi="宋体" w:eastAsia="黑体" w:cs="宋体"/>
          <w:bCs/>
          <w:kern w:val="44"/>
          <w:sz w:val="32"/>
          <w:szCs w:val="44"/>
        </w:rPr>
        <w:t>章 专用基金管理</w:t>
      </w:r>
    </w:p>
    <w:p w14:paraId="0ED68E36">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三十八</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专用基金是指学校按照规定提取或者设置的有专门用途的资金。专用基金管理应当遵循先提后用、专款专用的原则，支出不得超出基金规模。</w:t>
      </w:r>
    </w:p>
    <w:p w14:paraId="2EB5E8C8">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三十九</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专用基金包括：职工福利基金、学生奖助基金和其他专用基金。</w:t>
      </w:r>
    </w:p>
    <w:p w14:paraId="7DFF6EB4">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（一）职工福利基金：是指按照非财政拨款结余的一定比例提取以及按照其他规定提取转入，用于职工集体福利设施、集体福利待遇等的资金。</w:t>
      </w:r>
    </w:p>
    <w:p w14:paraId="13D67673">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（二）学生奖助基金：</w:t>
      </w:r>
      <w:r>
        <w:rPr>
          <w:rFonts w:hint="eastAsia" w:ascii="仿宋_GB2312" w:hAnsi="宋体" w:eastAsia="仿宋_GB2312" w:cs="宋体"/>
          <w:sz w:val="32"/>
          <w:szCs w:val="32"/>
          <w:lang w:val="en-US" w:eastAsia="zh-CN"/>
        </w:rPr>
        <w:t>是指</w:t>
      </w:r>
      <w:r>
        <w:rPr>
          <w:rFonts w:hint="eastAsia" w:ascii="仿宋_GB2312" w:hAnsi="宋体" w:eastAsia="仿宋_GB2312" w:cs="宋体"/>
          <w:sz w:val="32"/>
          <w:szCs w:val="32"/>
        </w:rPr>
        <w:t>按照国家有关规定，按照事业收入的一定比例提取，在事业支出的相关科目中列支，用于学费减免、国家助学贷款风险补偿、勤工助学、校内无息借款、校内奖助学金和特殊困难补助等的资金。</w:t>
      </w:r>
    </w:p>
    <w:p w14:paraId="247F4C1B">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sz w:val="32"/>
          <w:szCs w:val="32"/>
        </w:rPr>
        <w:t>（三）其他专用基金：按照其他有关规定，根据事业发展需要提取或者设置的其他专用资金，包括留本基金等。</w:t>
      </w:r>
    </w:p>
    <w:p w14:paraId="42975FDB">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四十</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学校应当将专用基金纳入预算管理，结合实际需要按照规定提取，保持合理规模，提高使用效益。专用基金余额较多的，应当降低提取比例或者暂停提取；确需调整用途的，由主管部门会同本级财政部门确定。</w:t>
      </w:r>
    </w:p>
    <w:p w14:paraId="5E7D9A57">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四十一</w:t>
      </w:r>
      <w:r>
        <w:rPr>
          <w:rFonts w:hint="eastAsia" w:ascii="仿宋_GB2312" w:hAnsi="宋体" w:eastAsia="仿宋_GB2312" w:cs="宋体"/>
          <w:b/>
          <w:bCs/>
          <w:sz w:val="32"/>
          <w:szCs w:val="32"/>
        </w:rPr>
        <w:t>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各项基金的提取比例和管理办法，国家有统一规定的，按照统一规定执行；没有统一规定的，由主管部门会同本级财政部门确定。</w:t>
      </w:r>
    </w:p>
    <w:p w14:paraId="4445294D">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w:t>
      </w:r>
      <w:r>
        <w:rPr>
          <w:rFonts w:hint="eastAsia" w:ascii="仿宋_GB2312" w:hAnsi="宋体" w:eastAsia="黑体" w:cs="宋体"/>
          <w:bCs/>
          <w:kern w:val="44"/>
          <w:sz w:val="32"/>
          <w:szCs w:val="44"/>
          <w:lang w:val="en-US" w:eastAsia="zh-CN"/>
        </w:rPr>
        <w:t>九</w:t>
      </w:r>
      <w:r>
        <w:rPr>
          <w:rFonts w:hint="eastAsia" w:ascii="仿宋_GB2312" w:hAnsi="宋体" w:eastAsia="黑体" w:cs="宋体"/>
          <w:bCs/>
          <w:kern w:val="44"/>
          <w:sz w:val="32"/>
          <w:szCs w:val="44"/>
        </w:rPr>
        <w:t>章 资产管理</w:t>
      </w:r>
    </w:p>
    <w:p w14:paraId="2C4E5986">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四十二</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资产是指学校依法直接支配的各类经济资源。</w:t>
      </w:r>
    </w:p>
    <w:p w14:paraId="54CD2865">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四十三</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学校的资产包括流动资产、固定资产、在建工程、无形资产、对外投资、公共基础设施、政府储备物资、文物文化资产、保障性住房等。</w:t>
      </w:r>
    </w:p>
    <w:p w14:paraId="7DAA8BA2">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lang w:val="en-US" w:eastAsia="zh-CN"/>
        </w:rPr>
        <w:t>第四十四条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学校应当建立健全资产管理制度，明确资产使用人和管理人的岗位责任，按照国家规定设置国有资产台账，加强和规范资产配置、使用和处置管理，维护资产安全完整，提高资产使用效率。</w:t>
      </w:r>
    </w:p>
    <w:p w14:paraId="0C4A3BA1">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lang w:val="en-US" w:eastAsia="zh-CN"/>
        </w:rPr>
        <w:t>第四十五条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学校应当定期或者不定期对资产进行盘点、对账，做到账实相符和账账相符。</w:t>
      </w:r>
    </w:p>
    <w:p w14:paraId="4E54D863">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四十六</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学校应当根据依法履行职能和事业发展的需要，结合资产存量、资产配置标准、绩效目标和财政承受能力配置资产。优先通过调剂方式配置资产。不能调剂的，可以采用购置、建设、租用等方式。</w:t>
      </w:r>
    </w:p>
    <w:p w14:paraId="5D9385CD">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四十七</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流动资产是指可以在一年以内变现或者耗用的资产，包括现金、各种存款、应收及预付款项、存货等。学校货币性资产损失核销，应当按规定程序报批。</w:t>
      </w:r>
    </w:p>
    <w:p w14:paraId="7F8104E0">
      <w:pPr>
        <w:adjustRightInd w:val="0"/>
        <w:snapToGrid w:val="0"/>
        <w:spacing w:line="560" w:lineRule="exact"/>
        <w:ind w:firstLine="640"/>
        <w:jc w:val="both"/>
        <w:rPr>
          <w:rFonts w:hint="eastAsia" w:ascii="仿宋_GB2312" w:hAnsi="宋体" w:eastAsia="仿宋_GB2312" w:cs="宋体"/>
          <w:sz w:val="32"/>
          <w:szCs w:val="32"/>
          <w:lang w:eastAsia="zh-CN"/>
        </w:rPr>
      </w:pPr>
      <w:r>
        <w:rPr>
          <w:rFonts w:hint="eastAsia" w:ascii="仿宋_GB2312" w:hAnsi="宋体" w:eastAsia="仿宋_GB2312" w:cs="宋体"/>
          <w:sz w:val="32"/>
          <w:szCs w:val="32"/>
        </w:rPr>
        <w:t>存货是指学校在开展教学、科研及其他活动中为耗用或出售而储存的资产，包括各类材料、燃料、包装物和低值易耗品以及未达到固定资产标准的用具、装具、动植物等。</w:t>
      </w:r>
      <w:r>
        <w:rPr>
          <w:rFonts w:hint="eastAsia" w:ascii="仿宋_GB2312" w:hAnsi="宋体" w:eastAsia="仿宋_GB2312" w:cs="宋体"/>
          <w:sz w:val="32"/>
          <w:szCs w:val="32"/>
          <w:lang w:val="en-US" w:eastAsia="zh-CN"/>
        </w:rPr>
        <w:t>学校</w:t>
      </w:r>
      <w:r>
        <w:rPr>
          <w:rFonts w:hint="eastAsia" w:ascii="仿宋_GB2312" w:hAnsi="宋体" w:eastAsia="仿宋_GB2312" w:cs="宋体"/>
          <w:sz w:val="32"/>
          <w:szCs w:val="32"/>
        </w:rPr>
        <w:t>对存货应当进行定期或者不定期的清查盘点，盘盈盘亏应及时进行调整</w:t>
      </w:r>
      <w:r>
        <w:rPr>
          <w:rFonts w:hint="eastAsia" w:ascii="仿宋_GB2312" w:hAnsi="宋体" w:eastAsia="仿宋_GB2312" w:cs="宋体"/>
          <w:sz w:val="32"/>
          <w:szCs w:val="32"/>
          <w:lang w:eastAsia="zh-CN"/>
        </w:rPr>
        <w:t>，</w:t>
      </w:r>
      <w:r>
        <w:rPr>
          <w:rFonts w:hint="eastAsia" w:ascii="仿宋_GB2312" w:hAnsi="宋体" w:eastAsia="仿宋_GB2312" w:cs="宋体"/>
          <w:sz w:val="32"/>
          <w:szCs w:val="32"/>
        </w:rPr>
        <w:t>保证账实相符</w:t>
      </w:r>
      <w:r>
        <w:rPr>
          <w:rFonts w:hint="eastAsia" w:ascii="仿宋_GB2312" w:hAnsi="宋体" w:eastAsia="仿宋_GB2312" w:cs="宋体"/>
          <w:sz w:val="32"/>
          <w:szCs w:val="32"/>
          <w:lang w:eastAsia="zh-CN"/>
        </w:rPr>
        <w:t>。</w:t>
      </w:r>
    </w:p>
    <w:p w14:paraId="13A50BCD">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sz w:val="32"/>
          <w:szCs w:val="32"/>
        </w:rPr>
        <w:t>学校应当建立健全现金及存款的内部管理制度，对应收及暂付款项应当及时清理结算，不得长期挂</w:t>
      </w:r>
      <w:r>
        <w:rPr>
          <w:rFonts w:hint="eastAsia" w:ascii="仿宋_GB2312" w:hAnsi="宋体" w:eastAsia="仿宋_GB2312" w:cs="宋体"/>
          <w:sz w:val="32"/>
          <w:szCs w:val="32"/>
          <w:lang w:val="en-US" w:eastAsia="zh-CN"/>
        </w:rPr>
        <w:t>账</w:t>
      </w:r>
      <w:r>
        <w:rPr>
          <w:rFonts w:hint="eastAsia" w:ascii="仿宋_GB2312" w:hAnsi="宋体" w:eastAsia="仿宋_GB2312" w:cs="宋体"/>
          <w:sz w:val="32"/>
          <w:szCs w:val="32"/>
        </w:rPr>
        <w:t>；对确实无法收回的应收及暂付款项，要查明原因，分清责任，按规定程序批准后核销。</w:t>
      </w:r>
    </w:p>
    <w:p w14:paraId="3DC265DB">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四十八</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固定资产是指使用期限超过一年，单位价值在1000元以上，并在使用过程中基本保持原有物质形态的资产。单位价值虽未达到规定标准，但是耐用时间在一年以上的大批同类物资，作为固定资产管理。</w:t>
      </w:r>
    </w:p>
    <w:p w14:paraId="65CA46BE">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sz w:val="32"/>
          <w:szCs w:val="32"/>
        </w:rPr>
        <w:t>学校的固定资产明细目录按国家相关规定执行。</w:t>
      </w:r>
    </w:p>
    <w:p w14:paraId="223C2EFF">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b/>
          <w:bCs/>
          <w:sz w:val="32"/>
          <w:szCs w:val="32"/>
          <w:highlight w:val="none"/>
        </w:rPr>
        <w:t>第</w:t>
      </w:r>
      <w:r>
        <w:rPr>
          <w:rFonts w:hint="eastAsia" w:ascii="仿宋_GB2312" w:hAnsi="宋体" w:eastAsia="仿宋_GB2312" w:cs="宋体"/>
          <w:b/>
          <w:bCs/>
          <w:sz w:val="32"/>
          <w:szCs w:val="32"/>
          <w:highlight w:val="none"/>
          <w:lang w:val="en-US" w:eastAsia="zh-CN"/>
        </w:rPr>
        <w:t>四十九</w:t>
      </w:r>
      <w:r>
        <w:rPr>
          <w:rFonts w:hint="eastAsia" w:ascii="仿宋_GB2312" w:hAnsi="宋体" w:eastAsia="仿宋_GB2312" w:cs="宋体"/>
          <w:b/>
          <w:bCs/>
          <w:sz w:val="32"/>
          <w:szCs w:val="32"/>
          <w:highlight w:val="none"/>
        </w:rPr>
        <w:t>条</w:t>
      </w:r>
      <w:r>
        <w:rPr>
          <w:rFonts w:hint="eastAsia" w:ascii="仿宋_GB2312" w:hAnsi="宋体" w:eastAsia="仿宋_GB2312" w:cs="宋体"/>
          <w:sz w:val="32"/>
          <w:szCs w:val="32"/>
        </w:rPr>
        <w:t xml:space="preserve"> 在建工程是指已经发生必要支出，但尚未达到交付使用状态的建设工程。在建工程达到交付使用状态时，应当及时按照规定办理工程竣工财务决算和资产交付使用</w:t>
      </w:r>
      <w:r>
        <w:rPr>
          <w:rFonts w:hint="eastAsia" w:ascii="仿宋_GB2312" w:hAnsi="宋体" w:eastAsia="仿宋_GB2312" w:cs="宋体"/>
          <w:sz w:val="32"/>
          <w:szCs w:val="32"/>
          <w:lang w:val="en-US" w:eastAsia="zh-CN"/>
        </w:rPr>
        <w:t>手续</w:t>
      </w:r>
      <w:r>
        <w:rPr>
          <w:rFonts w:hint="eastAsia" w:ascii="仿宋_GB2312" w:hAnsi="宋体" w:eastAsia="仿宋_GB2312" w:cs="宋体"/>
          <w:sz w:val="32"/>
          <w:szCs w:val="32"/>
        </w:rPr>
        <w:t>。</w:t>
      </w:r>
    </w:p>
    <w:p w14:paraId="470C2A65">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五十</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无形资产是指不具有实物形态而能为使用者提供某种权利的资产，包括专利权、商标权、著作权、土地使用权、非专利技术以及其他财产权利。</w:t>
      </w:r>
    </w:p>
    <w:p w14:paraId="2D70DF79">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sz w:val="32"/>
          <w:szCs w:val="32"/>
        </w:rPr>
        <w:t>学校转让无形资产取得的收入、取得无形资产发生的支出，应当按照国家有关规定处理。学校对其持有的科技成果，可按规定自主决定转让、许可或者作价投资，转化科技成果所获得的收入全部留归本单位。</w:t>
      </w:r>
    </w:p>
    <w:p w14:paraId="40DC7FD0">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五十一</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对外投资是指学校依法利用货币资金、实物、无形资产等方式向其他单位的投资。</w:t>
      </w:r>
    </w:p>
    <w:p w14:paraId="0199BBEA">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sz w:val="32"/>
          <w:szCs w:val="32"/>
        </w:rPr>
        <w:t>学校应当严格控制对外投资，不得使用财政拨款及其结余进行对外投资，不得从事股票、期货、基金、企业债券等投资（国家另有规定的除外）。</w:t>
      </w:r>
    </w:p>
    <w:p w14:paraId="1F331E13">
      <w:pPr>
        <w:adjustRightInd w:val="0"/>
        <w:snapToGrid w:val="0"/>
        <w:spacing w:line="560" w:lineRule="exact"/>
        <w:jc w:val="both"/>
        <w:rPr>
          <w:rFonts w:hint="eastAsia" w:ascii="仿宋_GB2312" w:hAnsi="Times New Roman" w:eastAsia="仿宋_GB2312" w:cs="Times New Roman"/>
          <w:sz w:val="32"/>
          <w:szCs w:val="32"/>
          <w:highlight w:val="none"/>
          <w:lang w:val="en-US" w:eastAsia="zh-CN"/>
        </w:rPr>
      </w:pPr>
      <w:r>
        <w:rPr>
          <w:rFonts w:hint="eastAsia" w:ascii="仿宋_GB2312" w:hAnsi="宋体" w:eastAsia="仿宋_GB2312" w:cs="宋体"/>
          <w:sz w:val="32"/>
          <w:szCs w:val="32"/>
          <w:lang w:val="en-US" w:eastAsia="zh-CN"/>
        </w:rPr>
        <w:t>学校</w:t>
      </w:r>
      <w:r>
        <w:rPr>
          <w:rFonts w:hint="eastAsia" w:ascii="仿宋_GB2312" w:hAnsi="Times New Roman" w:eastAsia="仿宋_GB2312" w:cs="Times New Roman"/>
          <w:sz w:val="32"/>
          <w:szCs w:val="32"/>
          <w:highlight w:val="none"/>
          <w:lang w:val="en-US" w:eastAsia="zh-CN"/>
        </w:rPr>
        <w:t>利用国有资产对外投资应当有利于事业发展和实现国有资产保值增值，符合国家有关规定，经可行性研究和集体决策，按照规定的权限和程序进行。</w:t>
      </w:r>
    </w:p>
    <w:p w14:paraId="1427F3D1">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sz w:val="32"/>
          <w:szCs w:val="32"/>
        </w:rPr>
        <w:t>学校应当明确对外投资形成的股权及其相关权益管理责任，按照国家有关规定将对外投资形成的股权纳入经营性国有资产集中统一监管体系。</w:t>
      </w:r>
    </w:p>
    <w:p w14:paraId="7B215673">
      <w:pPr>
        <w:adjustRightInd w:val="0"/>
        <w:snapToGrid w:val="0"/>
        <w:spacing w:line="560" w:lineRule="exact"/>
        <w:ind w:firstLine="640"/>
        <w:jc w:val="both"/>
        <w:rPr>
          <w:rFonts w:hint="eastAsia" w:ascii="仿宋_GB2312" w:hAnsi="宋体" w:eastAsia="仿宋_GB2312" w:cs="宋体"/>
          <w:sz w:val="32"/>
          <w:szCs w:val="32"/>
          <w:lang w:eastAsia="zh-CN"/>
        </w:rPr>
      </w:pPr>
      <w:r>
        <w:rPr>
          <w:rFonts w:hint="eastAsia" w:ascii="仿宋_GB2312" w:hAnsi="宋体" w:eastAsia="仿宋_GB2312" w:cs="宋体"/>
          <w:sz w:val="32"/>
          <w:szCs w:val="32"/>
          <w:lang w:val="en-US" w:eastAsia="zh-CN"/>
        </w:rPr>
        <w:t>学校</w:t>
      </w:r>
      <w:r>
        <w:rPr>
          <w:rFonts w:hint="eastAsia" w:ascii="仿宋_GB2312" w:hAnsi="宋体" w:eastAsia="仿宋_GB2312" w:cs="宋体"/>
          <w:sz w:val="32"/>
          <w:szCs w:val="32"/>
        </w:rPr>
        <w:t>对校办产业投资取得的收益，计入附属单位上缴收入；对其他单位投资取得的收益，计入其他收入；国家另有规定的除外</w:t>
      </w:r>
      <w:r>
        <w:rPr>
          <w:rFonts w:hint="eastAsia" w:ascii="仿宋_GB2312" w:hAnsi="宋体" w:eastAsia="仿宋_GB2312" w:cs="宋体"/>
          <w:sz w:val="32"/>
          <w:szCs w:val="32"/>
          <w:lang w:eastAsia="zh-CN"/>
        </w:rPr>
        <w:t>。</w:t>
      </w:r>
    </w:p>
    <w:p w14:paraId="645344D6">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第五十</w:t>
      </w:r>
      <w:r>
        <w:rPr>
          <w:rFonts w:hint="eastAsia" w:ascii="仿宋_GB2312" w:hAnsi="宋体" w:eastAsia="仿宋_GB2312" w:cs="宋体"/>
          <w:b/>
          <w:bCs/>
          <w:sz w:val="32"/>
          <w:szCs w:val="32"/>
          <w:lang w:val="en-US" w:eastAsia="zh-CN"/>
        </w:rPr>
        <w:t>二</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公共基础设施、政府储备物资、文物文化资产、保障性住房等资产管理的具体</w:t>
      </w:r>
      <w:r>
        <w:rPr>
          <w:rFonts w:hint="eastAsia" w:ascii="仿宋_GB2312" w:hAnsi="宋体" w:eastAsia="仿宋_GB2312" w:cs="宋体"/>
          <w:sz w:val="32"/>
          <w:szCs w:val="32"/>
          <w:lang w:val="en-US" w:eastAsia="zh-CN"/>
        </w:rPr>
        <w:t>管理</w:t>
      </w:r>
      <w:r>
        <w:rPr>
          <w:rFonts w:hint="eastAsia" w:ascii="仿宋_GB2312" w:hAnsi="宋体" w:eastAsia="仿宋_GB2312" w:cs="宋体"/>
          <w:sz w:val="32"/>
          <w:szCs w:val="32"/>
        </w:rPr>
        <w:t>办法，由主管部门会同财政等相关部门制定。</w:t>
      </w:r>
    </w:p>
    <w:p w14:paraId="50C26F74">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第五十</w:t>
      </w:r>
      <w:r>
        <w:rPr>
          <w:rFonts w:hint="eastAsia" w:ascii="仿宋_GB2312" w:hAnsi="宋体" w:eastAsia="仿宋_GB2312" w:cs="宋体"/>
          <w:b/>
          <w:bCs/>
          <w:sz w:val="32"/>
          <w:szCs w:val="32"/>
          <w:lang w:val="en-US" w:eastAsia="zh-CN"/>
        </w:rPr>
        <w:t>三</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学校资产处置应当遵循公开、公平、公正和竞争、择优的原则，严格履行相关审批程序。</w:t>
      </w:r>
    </w:p>
    <w:p w14:paraId="359876F3">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学校出租、出借资产，应当按照国家有关规定严格履行相关审批程序。</w:t>
      </w:r>
    </w:p>
    <w:p w14:paraId="37478A97">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w:t>
      </w:r>
      <w:r>
        <w:rPr>
          <w:rFonts w:hint="eastAsia" w:ascii="仿宋_GB2312" w:hAnsi="宋体" w:eastAsia="黑体" w:cs="宋体"/>
          <w:bCs/>
          <w:kern w:val="44"/>
          <w:sz w:val="32"/>
          <w:szCs w:val="44"/>
          <w:lang w:val="en-US" w:eastAsia="zh-CN"/>
        </w:rPr>
        <w:t>十</w:t>
      </w:r>
      <w:r>
        <w:rPr>
          <w:rFonts w:hint="eastAsia" w:ascii="仿宋_GB2312" w:hAnsi="宋体" w:eastAsia="黑体" w:cs="宋体"/>
          <w:bCs/>
          <w:kern w:val="44"/>
          <w:sz w:val="32"/>
          <w:szCs w:val="44"/>
        </w:rPr>
        <w:t>章 负债管理</w:t>
      </w:r>
    </w:p>
    <w:p w14:paraId="4E9C81F2">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五十四</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负债是指学校所承担的能以货币计量，需要以资产或劳务偿还的债务。</w:t>
      </w:r>
    </w:p>
    <w:p w14:paraId="40CA871F">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五十五</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w:t>
      </w:r>
      <w:r>
        <w:rPr>
          <w:rFonts w:hint="eastAsia" w:ascii="仿宋_GB2312" w:hAnsi="宋体" w:eastAsia="仿宋_GB2312" w:cs="宋体"/>
          <w:sz w:val="32"/>
          <w:szCs w:val="32"/>
          <w:lang w:val="en-US" w:eastAsia="zh-CN"/>
        </w:rPr>
        <w:t>学校</w:t>
      </w:r>
      <w:r>
        <w:rPr>
          <w:rFonts w:hint="eastAsia" w:ascii="仿宋_GB2312" w:hAnsi="宋体" w:eastAsia="仿宋_GB2312" w:cs="宋体"/>
          <w:sz w:val="32"/>
          <w:szCs w:val="32"/>
        </w:rPr>
        <w:t>负债包括借入款项、应付款项、暂存款项、应缴款项等。</w:t>
      </w:r>
    </w:p>
    <w:p w14:paraId="06260B0F">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借入款项是指学校向银行等金融机构借入的各类款项。</w:t>
      </w:r>
    </w:p>
    <w:p w14:paraId="360E45E6">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应付款项包括应付职工薪酬、应付票据、应付账款和其他应付款等</w:t>
      </w:r>
      <w:r>
        <w:rPr>
          <w:rFonts w:hint="eastAsia" w:ascii="仿宋_GB2312" w:hAnsi="Times New Roman" w:eastAsia="仿宋_GB2312" w:cs="Times New Roman"/>
          <w:sz w:val="32"/>
          <w:szCs w:val="32"/>
          <w:highlight w:val="none"/>
          <w:lang w:val="en-US" w:eastAsia="zh-CN"/>
        </w:rPr>
        <w:t>款项</w:t>
      </w:r>
      <w:r>
        <w:rPr>
          <w:rFonts w:hint="eastAsia" w:ascii="仿宋_GB2312" w:hAnsi="宋体" w:eastAsia="仿宋_GB2312" w:cs="宋体"/>
          <w:sz w:val="32"/>
          <w:szCs w:val="32"/>
        </w:rPr>
        <w:t>。</w:t>
      </w:r>
    </w:p>
    <w:p w14:paraId="23B0EF09">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暂存款项包括预收账款等</w:t>
      </w:r>
      <w:r>
        <w:rPr>
          <w:rFonts w:hint="eastAsia" w:ascii="仿宋_GB2312" w:hAnsi="Times New Roman" w:eastAsia="仿宋_GB2312" w:cs="Times New Roman"/>
          <w:sz w:val="32"/>
          <w:szCs w:val="32"/>
          <w:highlight w:val="none"/>
          <w:lang w:val="en-US" w:eastAsia="zh-CN"/>
        </w:rPr>
        <w:t>款项</w:t>
      </w:r>
      <w:r>
        <w:rPr>
          <w:rFonts w:hint="eastAsia" w:ascii="仿宋_GB2312" w:hAnsi="宋体" w:eastAsia="仿宋_GB2312" w:cs="宋体"/>
          <w:sz w:val="32"/>
          <w:szCs w:val="32"/>
        </w:rPr>
        <w:t>。</w:t>
      </w:r>
    </w:p>
    <w:p w14:paraId="34F8FE7D">
      <w:pPr>
        <w:adjustRightInd w:val="0"/>
        <w:snapToGrid w:val="0"/>
        <w:spacing w:line="560" w:lineRule="exact"/>
        <w:ind w:firstLine="640"/>
        <w:jc w:val="both"/>
        <w:rPr>
          <w:rFonts w:ascii="仿宋_GB2312" w:hAnsi="宋体" w:eastAsia="仿宋_GB2312" w:cs="宋体"/>
          <w:sz w:val="32"/>
          <w:szCs w:val="32"/>
        </w:rPr>
      </w:pPr>
      <w:r>
        <w:rPr>
          <w:rFonts w:hint="eastAsia" w:ascii="仿宋_GB2312" w:hAnsi="宋体" w:eastAsia="仿宋_GB2312" w:cs="宋体"/>
          <w:sz w:val="32"/>
          <w:szCs w:val="32"/>
        </w:rPr>
        <w:t>应缴款项包括学校按照国家有关规定收取的应当上缴国库或者财政专户的资金、应缴税费，以及其他应当上缴的款项。</w:t>
      </w:r>
    </w:p>
    <w:p w14:paraId="4F47D075">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五十六</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学校应当对不同性质的负债分类管理，及时清理并按照规定办理结算，保证各项负债在规定期限内偿还。</w:t>
      </w:r>
    </w:p>
    <w:p w14:paraId="11150A8C">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lang w:val="en-US" w:eastAsia="zh-CN"/>
        </w:rPr>
        <w:t>第五十七条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学校应当建立健全财务风险预警和控制机制，规范和加强借入款项管理，如实反映依法举借债务情况，严格执行审批程序，不得违反规定融资或者提供担保，不得以任何方式直接或间接替地方政府及其部门融资或者提供担保，严禁新增地方政府隐性债务。具体审批办法由主管部门会同本级财政部门制定。</w:t>
      </w:r>
    </w:p>
    <w:p w14:paraId="03BCB95F">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宋体" w:eastAsia="仿宋_GB2312" w:cs="宋体"/>
          <w:sz w:val="32"/>
          <w:szCs w:val="32"/>
          <w:highlight w:val="none"/>
        </w:rPr>
      </w:pPr>
      <w:r>
        <w:rPr>
          <w:rFonts w:hint="eastAsia" w:ascii="仿宋_GB2312" w:hAnsi="宋体" w:eastAsia="黑体" w:cs="宋体"/>
          <w:bCs/>
          <w:kern w:val="44"/>
          <w:sz w:val="32"/>
          <w:szCs w:val="44"/>
          <w:highlight w:val="none"/>
        </w:rPr>
        <w:t>第十</w:t>
      </w:r>
      <w:r>
        <w:rPr>
          <w:rFonts w:hint="eastAsia" w:ascii="仿宋_GB2312" w:hAnsi="宋体" w:eastAsia="黑体" w:cs="宋体"/>
          <w:bCs/>
          <w:kern w:val="44"/>
          <w:sz w:val="32"/>
          <w:szCs w:val="44"/>
          <w:highlight w:val="none"/>
          <w:lang w:val="en-US" w:eastAsia="zh-CN"/>
        </w:rPr>
        <w:t>一</w:t>
      </w:r>
      <w:r>
        <w:rPr>
          <w:rFonts w:hint="eastAsia" w:ascii="仿宋_GB2312" w:hAnsi="宋体" w:eastAsia="黑体" w:cs="宋体"/>
          <w:bCs/>
          <w:kern w:val="44"/>
          <w:sz w:val="32"/>
          <w:szCs w:val="44"/>
          <w:highlight w:val="none"/>
        </w:rPr>
        <w:t>章</w:t>
      </w:r>
      <w:r>
        <w:rPr>
          <w:rFonts w:hint="eastAsia" w:ascii="仿宋_GB2312" w:hAnsi="宋体" w:eastAsia="黑体" w:cs="宋体"/>
          <w:bCs/>
          <w:kern w:val="44"/>
          <w:sz w:val="32"/>
          <w:szCs w:val="44"/>
          <w:highlight w:val="none"/>
          <w:lang w:val="en-US" w:eastAsia="zh-CN"/>
        </w:rPr>
        <w:t xml:space="preserve"> </w:t>
      </w:r>
      <w:r>
        <w:rPr>
          <w:rFonts w:hint="eastAsia" w:ascii="仿宋_GB2312" w:hAnsi="宋体" w:eastAsia="黑体" w:cs="宋体"/>
          <w:bCs/>
          <w:kern w:val="44"/>
          <w:sz w:val="32"/>
          <w:szCs w:val="44"/>
          <w:highlight w:val="none"/>
        </w:rPr>
        <w:t>项目竣工决算管理</w:t>
      </w:r>
    </w:p>
    <w:p w14:paraId="1B86C8A9">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五十八</w:t>
      </w:r>
      <w:r>
        <w:rPr>
          <w:rFonts w:hint="eastAsia" w:ascii="仿宋_GB2312" w:hAnsi="宋体" w:eastAsia="仿宋_GB2312" w:cs="宋体"/>
          <w:b/>
          <w:bCs/>
          <w:sz w:val="32"/>
          <w:szCs w:val="32"/>
        </w:rPr>
        <w:t>条</w:t>
      </w:r>
      <w:r>
        <w:rPr>
          <w:rFonts w:hint="eastAsia" w:ascii="仿宋_GB2312" w:hAnsi="宋体" w:eastAsia="仿宋_GB2312" w:cs="宋体"/>
          <w:b/>
          <w:bCs/>
          <w:sz w:val="32"/>
          <w:szCs w:val="32"/>
          <w:lang w:val="en-US" w:eastAsia="zh-CN"/>
        </w:rPr>
        <w:t xml:space="preserve"> </w:t>
      </w:r>
      <w:r>
        <w:rPr>
          <w:rFonts w:hint="eastAsia" w:ascii="仿宋_GB2312" w:hAnsi="宋体" w:eastAsia="仿宋_GB2312" w:cs="宋体"/>
          <w:sz w:val="32"/>
          <w:szCs w:val="32"/>
        </w:rPr>
        <w:t>项目竣工决算是学校基本建设项目、大型修缮项目等工程完工后，编制的全面反映项目实际造价、建设成果和财务状况的总结性文件，是核定新增固定资产价值、办理资产交付使用手续的重要依据。</w:t>
      </w:r>
    </w:p>
    <w:p w14:paraId="11254A31">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五十九</w:t>
      </w:r>
      <w:r>
        <w:rPr>
          <w:rFonts w:hint="eastAsia" w:ascii="仿宋_GB2312" w:hAnsi="宋体" w:eastAsia="仿宋_GB2312" w:cs="宋体"/>
          <w:b/>
          <w:bCs/>
          <w:sz w:val="32"/>
          <w:szCs w:val="32"/>
        </w:rPr>
        <w:t>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项目竣工决算应当依据国家和省级财政部门、教育主管部门有关基本建设财务管理的规定，在项目完工后及时编制。项目建设周期较长、投资额度较大的，应当在年度终了进行年度竣工财务决算的编制工作。</w:t>
      </w:r>
    </w:p>
    <w:p w14:paraId="6432962A">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w:t>
      </w:r>
      <w:r>
        <w:rPr>
          <w:rFonts w:hint="eastAsia" w:ascii="仿宋_GB2312" w:hAnsi="宋体" w:eastAsia="仿宋_GB2312" w:cs="宋体"/>
          <w:b/>
          <w:bCs/>
          <w:sz w:val="32"/>
          <w:szCs w:val="32"/>
        </w:rPr>
        <w:t>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项目竣工决算的内容主要包括：竣工财务决算报表、竣工财务决算说明书、工程竣工图纸、工程结算资料、设备清单、债权债务清理情况以及其他与项目财务收支相关的资料。</w:t>
      </w:r>
    </w:p>
    <w:p w14:paraId="342418B7">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六十一</w:t>
      </w:r>
      <w:r>
        <w:rPr>
          <w:rFonts w:hint="eastAsia" w:ascii="仿宋_GB2312" w:hAnsi="宋体" w:eastAsia="仿宋_GB2312" w:cs="宋体"/>
          <w:b/>
          <w:bCs/>
          <w:sz w:val="32"/>
          <w:szCs w:val="32"/>
        </w:rPr>
        <w:t>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项目竣工决算应当按照“先审计、后决算”的原则，由学校审计部门或委托具有相应资质的会计师事务所进行审计。审计报告作为办理竣工决算和资产交付使用手续的必要依据。</w:t>
      </w:r>
    </w:p>
    <w:p w14:paraId="60960006">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六十二</w:t>
      </w:r>
      <w:r>
        <w:rPr>
          <w:rFonts w:hint="eastAsia" w:ascii="仿宋_GB2312" w:hAnsi="宋体" w:eastAsia="仿宋_GB2312" w:cs="宋体"/>
          <w:b/>
          <w:bCs/>
          <w:sz w:val="32"/>
          <w:szCs w:val="32"/>
        </w:rPr>
        <w:t>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项目竣工决算完成后，计划财务处应当会同资产管理、基建、后勤等部门，依据决算结果及时办理资产交付使用手续，登记固定资产账目，确保账实相符。未经竣工决算和资产交付手续的工程，不得转为固定资产。</w:t>
      </w:r>
    </w:p>
    <w:p w14:paraId="4A172A0F">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六十三</w:t>
      </w:r>
      <w:r>
        <w:rPr>
          <w:rFonts w:hint="eastAsia" w:ascii="仿宋_GB2312" w:hAnsi="宋体" w:eastAsia="仿宋_GB2312" w:cs="宋体"/>
          <w:b/>
          <w:bCs/>
          <w:sz w:val="32"/>
          <w:szCs w:val="32"/>
        </w:rPr>
        <w:t>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项目竣工决算中核定的结余资金，应当按照财政部门和主管部门的规定进行处理。因项目变更、材料价格调整等原因形成的净结余，不得挪作他用，确需调剂使用的，须按规定程序报批。</w:t>
      </w:r>
    </w:p>
    <w:p w14:paraId="5561E02F">
      <w:pPr>
        <w:adjustRightInd w:val="0"/>
        <w:snapToGrid w:val="0"/>
        <w:spacing w:line="560" w:lineRule="exact"/>
        <w:ind w:firstLine="640"/>
        <w:jc w:val="both"/>
        <w:rPr>
          <w:rFonts w:hint="eastAsia" w:ascii="仿宋_GB2312" w:hAnsi="宋体" w:eastAsia="黑体" w:cs="宋体"/>
          <w:bCs/>
          <w:kern w:val="44"/>
          <w:sz w:val="32"/>
          <w:szCs w:val="44"/>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六十四</w:t>
      </w:r>
      <w:r>
        <w:rPr>
          <w:rFonts w:hint="eastAsia" w:ascii="仿宋_GB2312" w:hAnsi="宋体" w:eastAsia="仿宋_GB2312" w:cs="宋体"/>
          <w:b/>
          <w:bCs/>
          <w:sz w:val="32"/>
          <w:szCs w:val="32"/>
        </w:rPr>
        <w:t>条</w:t>
      </w: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学校应当建立健全项目竣工决算的档案管理制度，决算报告、审计报告及相关资料应当按规定归档保存，保存期限不得低于国家规定年限。</w:t>
      </w:r>
    </w:p>
    <w:p w14:paraId="6F4261DE">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第十</w:t>
      </w:r>
      <w:r>
        <w:rPr>
          <w:rFonts w:hint="eastAsia" w:ascii="仿宋_GB2312" w:hAnsi="宋体" w:eastAsia="黑体" w:cs="宋体"/>
          <w:bCs/>
          <w:kern w:val="44"/>
          <w:sz w:val="32"/>
          <w:szCs w:val="44"/>
          <w:lang w:val="en-US" w:eastAsia="zh-CN"/>
        </w:rPr>
        <w:t>二</w:t>
      </w:r>
      <w:r>
        <w:rPr>
          <w:rFonts w:hint="eastAsia" w:ascii="仿宋_GB2312" w:hAnsi="宋体" w:eastAsia="黑体" w:cs="宋体"/>
          <w:bCs/>
          <w:kern w:val="44"/>
          <w:sz w:val="32"/>
          <w:szCs w:val="44"/>
        </w:rPr>
        <w:t>章  财务清算</w:t>
      </w:r>
    </w:p>
    <w:p w14:paraId="3299E6A2">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六十五</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经国家有关部门批准，学校发生划转、改制、撤销、合并、分立时，应当进行财务清算。</w:t>
      </w:r>
    </w:p>
    <w:p w14:paraId="4C7CB734">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六十六</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财务清算，应当在主管部门和财政部门的监督指导下成立财务清算工作小组，对学校的财产、债权、债务等进行全面清理，编制财产目录和债权、债务清单以及清算财务报告，全面反映学校的财务状况和清算损益，提出财产作价依据和债权、债务处理办法，做好资产和负债的移交、接收、划转和管理工作，并妥善处理各项遗留问题。</w:t>
      </w:r>
    </w:p>
    <w:p w14:paraId="112FE69B">
      <w:pPr>
        <w:adjustRightInd w:val="0"/>
        <w:snapToGrid w:val="0"/>
        <w:spacing w:line="560" w:lineRule="exact"/>
        <w:jc w:val="both"/>
        <w:rPr>
          <w:rFonts w:hint="eastAsia" w:ascii="仿宋_GB2312" w:hAnsi="宋体" w:eastAsia="仿宋_GB2312" w:cs="宋体"/>
          <w:sz w:val="32"/>
          <w:szCs w:val="32"/>
          <w:lang w:eastAsia="zh-CN"/>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六十七</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学校清算结束后，经主管部门审核并报财政部门批准，其资产和负债分别按照国家和甘肃省有关规定处理</w:t>
      </w:r>
      <w:r>
        <w:rPr>
          <w:rFonts w:hint="eastAsia" w:ascii="仿宋_GB2312" w:hAnsi="宋体" w:eastAsia="仿宋_GB2312" w:cs="宋体"/>
          <w:sz w:val="32"/>
          <w:szCs w:val="32"/>
          <w:lang w:eastAsia="zh-CN"/>
        </w:rPr>
        <w:t>：</w:t>
      </w:r>
    </w:p>
    <w:p w14:paraId="6271E31C">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sz w:val="32"/>
          <w:szCs w:val="32"/>
        </w:rPr>
        <w:t>因隶属关系改变，成建制划转的</w:t>
      </w:r>
      <w:r>
        <w:rPr>
          <w:rFonts w:hint="eastAsia" w:ascii="仿宋_GB2312" w:hAnsi="宋体" w:eastAsia="仿宋_GB2312" w:cs="宋体"/>
          <w:sz w:val="32"/>
          <w:szCs w:val="32"/>
          <w:lang w:val="en-US" w:eastAsia="zh-CN"/>
        </w:rPr>
        <w:t>学校</w:t>
      </w:r>
      <w:r>
        <w:rPr>
          <w:rFonts w:hint="eastAsia" w:ascii="仿宋_GB2312" w:hAnsi="宋体" w:eastAsia="仿宋_GB2312" w:cs="宋体"/>
          <w:sz w:val="32"/>
          <w:szCs w:val="32"/>
        </w:rPr>
        <w:t>，其全部资产和负债无偿移交，并相应划转经费指标。</w:t>
      </w:r>
    </w:p>
    <w:p w14:paraId="2EACA4B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ascii="仿宋_GB2312" w:hAnsi="宋体" w:eastAsia="仿宋_GB2312" w:cs="宋体"/>
          <w:sz w:val="32"/>
          <w:szCs w:val="32"/>
        </w:rPr>
      </w:pPr>
      <w:r>
        <w:rPr>
          <w:rFonts w:hint="eastAsia" w:ascii="仿宋_GB2312" w:hAnsi="宋体" w:eastAsia="仿宋_GB2312" w:cs="宋体"/>
          <w:sz w:val="32"/>
          <w:szCs w:val="32"/>
        </w:rPr>
        <w:t>（二）撤销的</w:t>
      </w:r>
      <w:r>
        <w:rPr>
          <w:rFonts w:hint="eastAsia" w:ascii="仿宋_GB2312" w:hAnsi="宋体" w:eastAsia="仿宋_GB2312" w:cs="宋体"/>
          <w:sz w:val="32"/>
          <w:szCs w:val="32"/>
          <w:lang w:val="en-US" w:eastAsia="zh-CN"/>
        </w:rPr>
        <w:t>学校</w:t>
      </w:r>
      <w:r>
        <w:rPr>
          <w:rFonts w:hint="eastAsia" w:ascii="仿宋_GB2312" w:hAnsi="宋体" w:eastAsia="仿宋_GB2312" w:cs="宋体"/>
          <w:sz w:val="32"/>
          <w:szCs w:val="32"/>
        </w:rPr>
        <w:t>，全部资产和负债由主管部门和计划财务处核准处理。</w:t>
      </w:r>
    </w:p>
    <w:p w14:paraId="44033013">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（三）合并的</w:t>
      </w:r>
      <w:r>
        <w:rPr>
          <w:rFonts w:hint="eastAsia" w:ascii="仿宋_GB2312" w:hAnsi="宋体" w:eastAsia="仿宋_GB2312" w:cs="宋体"/>
          <w:sz w:val="32"/>
          <w:szCs w:val="32"/>
          <w:lang w:val="en-US" w:eastAsia="zh-CN"/>
        </w:rPr>
        <w:t>学校</w:t>
      </w:r>
      <w:r>
        <w:rPr>
          <w:rFonts w:hint="eastAsia" w:ascii="仿宋_GB2312" w:hAnsi="宋体" w:eastAsia="仿宋_GB2312" w:cs="宋体"/>
          <w:sz w:val="32"/>
          <w:szCs w:val="32"/>
        </w:rPr>
        <w:t>，全部资产和负债移交接收单位或新组建单位。合并后多余的国有资产由主管部门和国资基建处核准处理。</w:t>
      </w:r>
    </w:p>
    <w:p w14:paraId="303864CA">
      <w:pPr>
        <w:adjustRightInd w:val="0"/>
        <w:snapToGrid w:val="0"/>
        <w:spacing w:line="560" w:lineRule="exact"/>
        <w:ind w:firstLine="640"/>
        <w:jc w:val="both"/>
        <w:rPr>
          <w:rFonts w:hint="eastAsia" w:ascii="仿宋_GB2312" w:hAnsi="宋体" w:eastAsia="仿宋_GB2312" w:cs="宋体"/>
          <w:sz w:val="32"/>
          <w:szCs w:val="32"/>
          <w:lang w:eastAsia="zh-CN"/>
        </w:rPr>
      </w:pPr>
      <w:r>
        <w:rPr>
          <w:rFonts w:hint="eastAsia" w:ascii="仿宋_GB2312" w:hAnsi="宋体" w:eastAsia="仿宋_GB2312" w:cs="宋体"/>
          <w:sz w:val="32"/>
          <w:szCs w:val="32"/>
        </w:rPr>
        <w:t>(四)分立的学校，全部资产和负债按照有关规定移交分立后的学校，并相应划转经费指标</w:t>
      </w:r>
      <w:r>
        <w:rPr>
          <w:rFonts w:hint="eastAsia" w:ascii="仿宋_GB2312" w:hAnsi="宋体" w:eastAsia="仿宋_GB2312" w:cs="宋体"/>
          <w:sz w:val="32"/>
          <w:szCs w:val="32"/>
          <w:lang w:eastAsia="zh-CN"/>
        </w:rPr>
        <w:t>。</w:t>
      </w:r>
    </w:p>
    <w:p w14:paraId="7E7F5E77">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第十</w:t>
      </w:r>
      <w:r>
        <w:rPr>
          <w:rFonts w:hint="eastAsia" w:ascii="仿宋_GB2312" w:hAnsi="宋体" w:eastAsia="黑体" w:cs="宋体"/>
          <w:bCs/>
          <w:kern w:val="44"/>
          <w:sz w:val="32"/>
          <w:szCs w:val="44"/>
          <w:lang w:val="en-US" w:eastAsia="zh-CN"/>
        </w:rPr>
        <w:t>三</w:t>
      </w:r>
      <w:r>
        <w:rPr>
          <w:rFonts w:hint="eastAsia" w:ascii="仿宋_GB2312" w:hAnsi="宋体" w:eastAsia="黑体" w:cs="宋体"/>
          <w:bCs/>
          <w:kern w:val="44"/>
          <w:sz w:val="32"/>
          <w:szCs w:val="44"/>
        </w:rPr>
        <w:t>章 财务报告和财务分析</w:t>
      </w:r>
    </w:p>
    <w:p w14:paraId="024D85FE">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六十八</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学校应当按国家有关规定向主管部门和财政部门以及其他有关的报告使用者提供财务报告、决算报告。学校应当为相关使用者提供满足需要的管理会计报告。</w:t>
      </w:r>
    </w:p>
    <w:p w14:paraId="179D06A6">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学校财务会计和预算会计要素的确认、计量、记录、报告应当遵循政府会计准则制度的规定。</w:t>
      </w:r>
    </w:p>
    <w:p w14:paraId="75E29AE3">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六十九</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财务报告主要以权责发生制为基础编制，综合反映学校特定日期财务状况和一定时期运行情况等信息。财务报告由财务报表和财务分析两部分组成。</w:t>
      </w:r>
    </w:p>
    <w:p w14:paraId="73AADE98">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七十</w:t>
      </w:r>
      <w:r>
        <w:rPr>
          <w:rFonts w:hint="eastAsia" w:ascii="仿宋_GB2312" w:hAnsi="宋体" w:eastAsia="仿宋_GB2312" w:cs="宋体"/>
          <w:b/>
          <w:bCs/>
          <w:sz w:val="32"/>
          <w:szCs w:val="32"/>
        </w:rPr>
        <w:t xml:space="preserve">条 </w:t>
      </w:r>
      <w:r>
        <w:rPr>
          <w:rFonts w:hint="eastAsia" w:ascii="仿宋_GB2312" w:hAnsi="宋体" w:eastAsia="仿宋_GB2312" w:cs="宋体"/>
          <w:sz w:val="32"/>
          <w:szCs w:val="32"/>
        </w:rPr>
        <w:t>财务报表主要包括资产负债表、收入费用表等会计报表和报表附注。财务分析的内容主要包括财务状况分析、运行情况分析和财务管理情况等。</w:t>
      </w:r>
    </w:p>
    <w:p w14:paraId="65EC2B30">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财务分析应当按照主管部门的规定设置财务分析指标，主要包括但不限于反映财务风险管理、财务运行能力、财务发展能力等方面的指标。</w:t>
      </w:r>
    </w:p>
    <w:p w14:paraId="285662B5">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第七十</w:t>
      </w:r>
      <w:r>
        <w:rPr>
          <w:rFonts w:hint="eastAsia" w:ascii="仿宋_GB2312" w:hAnsi="宋体" w:eastAsia="仿宋_GB2312" w:cs="宋体"/>
          <w:b/>
          <w:bCs/>
          <w:sz w:val="32"/>
          <w:szCs w:val="32"/>
          <w:lang w:val="en-US" w:eastAsia="zh-CN"/>
        </w:rPr>
        <w:t>一</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决算报告主要以收付实现制为基础编制，综合反映学校年度预算收支执行结果等信息。</w:t>
      </w:r>
    </w:p>
    <w:p w14:paraId="5C009692">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第七十</w:t>
      </w:r>
      <w:r>
        <w:rPr>
          <w:rFonts w:hint="eastAsia" w:ascii="仿宋_GB2312" w:hAnsi="宋体" w:eastAsia="仿宋_GB2312" w:cs="宋体"/>
          <w:b/>
          <w:bCs/>
          <w:sz w:val="32"/>
          <w:szCs w:val="32"/>
          <w:lang w:val="en-US" w:eastAsia="zh-CN"/>
        </w:rPr>
        <w:t>二</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决算报告由决算报表和决算分析两部分组成。决算报表主要包括收入支出表、财政拨款收入支出表等。决算分析的内容主要包括收支预算执行分析、资金使用效益分析和机构人员情况等。</w:t>
      </w:r>
    </w:p>
    <w:p w14:paraId="0413C30A">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sz w:val="32"/>
          <w:szCs w:val="32"/>
        </w:rPr>
        <w:t>决算分析应当按照主管部门的规定设置分析指标，主要包括但不限于反映学校预算管理、资金使用效益、收支结构、结转结余情况等方面的指标。</w:t>
      </w:r>
    </w:p>
    <w:p w14:paraId="529748BF">
      <w:pPr>
        <w:adjustRightInd w:val="0"/>
        <w:snapToGrid w:val="0"/>
        <w:spacing w:line="560" w:lineRule="exact"/>
        <w:ind w:firstLine="640"/>
        <w:jc w:val="both"/>
        <w:rPr>
          <w:rFonts w:hint="eastAsia" w:ascii="仿宋_GB2312" w:hAnsi="宋体" w:eastAsia="仿宋_GB2312" w:cs="宋体"/>
          <w:sz w:val="32"/>
          <w:szCs w:val="32"/>
        </w:rPr>
      </w:pPr>
      <w:r>
        <w:rPr>
          <w:rFonts w:hint="eastAsia" w:ascii="仿宋_GB2312" w:hAnsi="宋体" w:eastAsia="仿宋_GB2312" w:cs="宋体"/>
          <w:b/>
          <w:bCs/>
          <w:sz w:val="32"/>
          <w:szCs w:val="32"/>
        </w:rPr>
        <w:t>第七十</w:t>
      </w:r>
      <w:r>
        <w:rPr>
          <w:rFonts w:hint="eastAsia" w:ascii="仿宋_GB2312" w:hAnsi="宋体" w:eastAsia="仿宋_GB2312" w:cs="宋体"/>
          <w:b/>
          <w:bCs/>
          <w:sz w:val="32"/>
          <w:szCs w:val="32"/>
          <w:lang w:val="en-US" w:eastAsia="zh-CN"/>
        </w:rPr>
        <w:t>三</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管理会计报告主要以提供决策和管理支持为目标，根据相关使用者的需要编制，反映学校绩效管理、成本管理、内部控制、国有资产管理等情况。</w:t>
      </w:r>
    </w:p>
    <w:p w14:paraId="58872D34">
      <w:pPr>
        <w:spacing w:line="560" w:lineRule="exact"/>
        <w:ind w:firstLine="0" w:firstLineChars="0"/>
        <w:jc w:val="center"/>
        <w:rPr>
          <w:rFonts w:hint="eastAsia" w:ascii="仿宋_GB2312" w:hAnsi="宋体" w:eastAsia="仿宋_GB2312" w:cs="宋体"/>
          <w:b/>
          <w:bCs/>
          <w:sz w:val="32"/>
          <w:szCs w:val="32"/>
        </w:rPr>
      </w:pPr>
      <w:r>
        <w:rPr>
          <w:rFonts w:hint="eastAsia" w:ascii="仿宋_GB2312" w:hAnsi="宋体" w:eastAsia="黑体" w:cs="宋体"/>
          <w:bCs/>
          <w:kern w:val="44"/>
          <w:sz w:val="32"/>
          <w:szCs w:val="44"/>
        </w:rPr>
        <w:t>第十</w:t>
      </w:r>
      <w:r>
        <w:rPr>
          <w:rFonts w:hint="eastAsia" w:ascii="仿宋_GB2312" w:hAnsi="宋体" w:eastAsia="黑体" w:cs="宋体"/>
          <w:bCs/>
          <w:kern w:val="44"/>
          <w:sz w:val="32"/>
          <w:szCs w:val="44"/>
          <w:lang w:val="en-US" w:eastAsia="zh-CN"/>
        </w:rPr>
        <w:t>四</w:t>
      </w:r>
      <w:r>
        <w:rPr>
          <w:rFonts w:hint="eastAsia" w:ascii="仿宋_GB2312" w:hAnsi="宋体" w:eastAsia="黑体" w:cs="宋体"/>
          <w:bCs/>
          <w:kern w:val="44"/>
          <w:sz w:val="32"/>
          <w:szCs w:val="44"/>
        </w:rPr>
        <w:t>章 财务监督</w:t>
      </w:r>
    </w:p>
    <w:p w14:paraId="718CCA92">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第七十</w:t>
      </w:r>
      <w:r>
        <w:rPr>
          <w:rFonts w:hint="eastAsia" w:ascii="仿宋_GB2312" w:hAnsi="宋体" w:eastAsia="仿宋_GB2312" w:cs="宋体"/>
          <w:b/>
          <w:bCs/>
          <w:sz w:val="32"/>
          <w:szCs w:val="32"/>
          <w:lang w:val="en-US" w:eastAsia="zh-CN"/>
        </w:rPr>
        <w:t>四</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学校财务监督的主要内容包括：</w:t>
      </w:r>
    </w:p>
    <w:p w14:paraId="195AB970">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sz w:val="32"/>
          <w:szCs w:val="32"/>
        </w:rPr>
        <w:t>(一)预算编制、执行的规范性、合理性、有效性;报告的真实性、完整性、准确性;</w:t>
      </w:r>
    </w:p>
    <w:p w14:paraId="3A942FAA">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sz w:val="32"/>
          <w:szCs w:val="32"/>
        </w:rPr>
        <w:t>(二)各项收入和支出的合法性、合规性;</w:t>
      </w:r>
    </w:p>
    <w:p w14:paraId="3D7333E2">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sz w:val="32"/>
          <w:szCs w:val="32"/>
        </w:rPr>
        <w:t>(三)结转和结余的管理情况;</w:t>
      </w:r>
    </w:p>
    <w:p w14:paraId="6E5BE33B">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sz w:val="32"/>
          <w:szCs w:val="32"/>
        </w:rPr>
        <w:t>(四)专用基金的管理情况;</w:t>
      </w:r>
    </w:p>
    <w:p w14:paraId="4C7929AD">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sz w:val="32"/>
          <w:szCs w:val="32"/>
        </w:rPr>
        <w:t>(五)资产管理的安全性、规范性、有效性;</w:t>
      </w:r>
    </w:p>
    <w:p w14:paraId="34F97086">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sz w:val="32"/>
          <w:szCs w:val="32"/>
        </w:rPr>
        <w:t>(六)负债的合规性和风险程度;</w:t>
      </w:r>
    </w:p>
    <w:p w14:paraId="7E0D145B">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sz w:val="32"/>
          <w:szCs w:val="32"/>
        </w:rPr>
        <w:t>(七)其他重要事项，包括对附属单位财务管理情况进行监督等。</w:t>
      </w:r>
    </w:p>
    <w:p w14:paraId="38870C57">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第七十</w:t>
      </w:r>
      <w:r>
        <w:rPr>
          <w:rFonts w:hint="eastAsia" w:ascii="仿宋_GB2312" w:hAnsi="宋体" w:eastAsia="仿宋_GB2312" w:cs="宋体"/>
          <w:b/>
          <w:bCs/>
          <w:sz w:val="32"/>
          <w:szCs w:val="32"/>
          <w:lang w:val="en-US" w:eastAsia="zh-CN"/>
        </w:rPr>
        <w:t>五</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学校财务监督应当实行事前监督、事中监督、事后监督相结合，日常监督与专项监督相结合。</w:t>
      </w:r>
    </w:p>
    <w:p w14:paraId="5CBB425E">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第七十</w:t>
      </w:r>
      <w:r>
        <w:rPr>
          <w:rFonts w:hint="eastAsia" w:ascii="仿宋_GB2312" w:hAnsi="宋体" w:eastAsia="仿宋_GB2312" w:cs="宋体"/>
          <w:b/>
          <w:bCs/>
          <w:sz w:val="32"/>
          <w:szCs w:val="32"/>
          <w:lang w:val="en-US" w:eastAsia="zh-CN"/>
        </w:rPr>
        <w:t>六</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学校应当建立健全内部控制制度、经济责任制度、财务信息披露制度等监督制度，依法公开财务信息，按规定编制和报送内部控制报告。</w:t>
      </w:r>
    </w:p>
    <w:p w14:paraId="7B69A0A4">
      <w:pPr>
        <w:adjustRightInd w:val="0"/>
        <w:snapToGrid w:val="0"/>
        <w:spacing w:line="560" w:lineRule="exact"/>
        <w:jc w:val="both"/>
        <w:rPr>
          <w:rFonts w:hint="eastAsia" w:ascii="仿宋_GB2312" w:hAnsi="宋体" w:eastAsia="仿宋_GB2312" w:cs="宋体"/>
          <w:sz w:val="32"/>
          <w:szCs w:val="32"/>
        </w:rPr>
      </w:pPr>
      <w:r>
        <w:rPr>
          <w:rFonts w:hint="eastAsia" w:ascii="仿宋_GB2312" w:hAnsi="宋体" w:eastAsia="仿宋_GB2312" w:cs="宋体"/>
          <w:b/>
          <w:bCs/>
          <w:sz w:val="32"/>
          <w:szCs w:val="32"/>
        </w:rPr>
        <w:t>第七十</w:t>
      </w:r>
      <w:r>
        <w:rPr>
          <w:rFonts w:hint="eastAsia" w:ascii="仿宋_GB2312" w:hAnsi="宋体" w:eastAsia="仿宋_GB2312" w:cs="宋体"/>
          <w:b/>
          <w:bCs/>
          <w:sz w:val="32"/>
          <w:szCs w:val="32"/>
          <w:lang w:val="en-US" w:eastAsia="zh-CN"/>
        </w:rPr>
        <w:t>七</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学校应当遵守财经纪律和财务制度，依法接受主管部门和财政、审计部门的监督。</w:t>
      </w:r>
    </w:p>
    <w:p w14:paraId="7406321F">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第七十</w:t>
      </w:r>
      <w:r>
        <w:rPr>
          <w:rFonts w:hint="eastAsia" w:ascii="仿宋_GB2312" w:hAnsi="宋体" w:eastAsia="仿宋_GB2312" w:cs="宋体"/>
          <w:b/>
          <w:bCs/>
          <w:sz w:val="32"/>
          <w:szCs w:val="32"/>
          <w:lang w:val="en-US" w:eastAsia="zh-CN"/>
        </w:rPr>
        <w:t>八</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学校及其工作人员存在违反本制度规定的行为，以及其他滥用职权、玩忽职守、徇私舞弊等违法违规行为的，依法追究相应责任。</w:t>
      </w:r>
    </w:p>
    <w:p w14:paraId="2CBDCFB1">
      <w:pPr>
        <w:spacing w:line="560" w:lineRule="exact"/>
        <w:ind w:firstLine="0" w:firstLineChars="0"/>
        <w:jc w:val="center"/>
        <w:rPr>
          <w:rFonts w:ascii="仿宋_GB2312" w:hAnsi="宋体" w:eastAsia="黑体" w:cs="宋体"/>
          <w:bCs/>
          <w:kern w:val="44"/>
          <w:sz w:val="32"/>
          <w:szCs w:val="44"/>
        </w:rPr>
      </w:pPr>
      <w:r>
        <w:rPr>
          <w:rFonts w:hint="eastAsia" w:ascii="仿宋_GB2312" w:hAnsi="宋体" w:eastAsia="黑体" w:cs="宋体"/>
          <w:bCs/>
          <w:kern w:val="44"/>
          <w:sz w:val="32"/>
          <w:szCs w:val="44"/>
        </w:rPr>
        <w:t>第</w:t>
      </w:r>
      <w:r>
        <w:rPr>
          <w:rFonts w:hint="eastAsia" w:ascii="仿宋_GB2312" w:hAnsi="宋体" w:eastAsia="黑体" w:cs="宋体"/>
          <w:bCs/>
          <w:kern w:val="44"/>
          <w:sz w:val="32"/>
          <w:szCs w:val="44"/>
          <w:lang w:val="en-US" w:eastAsia="zh-CN"/>
        </w:rPr>
        <w:t>十五</w:t>
      </w:r>
      <w:r>
        <w:rPr>
          <w:rFonts w:hint="eastAsia" w:ascii="仿宋_GB2312" w:hAnsi="宋体" w:eastAsia="黑体" w:cs="宋体"/>
          <w:bCs/>
          <w:kern w:val="44"/>
          <w:sz w:val="32"/>
          <w:szCs w:val="44"/>
        </w:rPr>
        <w:t>章 附 则</w:t>
      </w:r>
    </w:p>
    <w:p w14:paraId="00A949BA">
      <w:pPr>
        <w:adjustRightInd w:val="0"/>
        <w:snapToGrid w:val="0"/>
        <w:spacing w:line="560" w:lineRule="exact"/>
        <w:jc w:val="both"/>
        <w:rPr>
          <w:rFonts w:hint="eastAsia" w:ascii="仿宋_GB2312" w:hAnsi="宋体" w:eastAsia="仿宋_GB2312" w:cs="宋体"/>
          <w:sz w:val="32"/>
          <w:szCs w:val="32"/>
          <w:lang w:eastAsia="zh-CN"/>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七十九</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本制度由学校计划财务处负责解释</w:t>
      </w:r>
      <w:r>
        <w:rPr>
          <w:rFonts w:hint="eastAsia" w:ascii="仿宋_GB2312" w:hAnsi="宋体" w:eastAsia="仿宋_GB2312" w:cs="宋体"/>
          <w:sz w:val="32"/>
          <w:szCs w:val="32"/>
          <w:lang w:eastAsia="zh-CN"/>
        </w:rPr>
        <w:t>。</w:t>
      </w:r>
    </w:p>
    <w:p w14:paraId="797E0550">
      <w:pPr>
        <w:adjustRightInd w:val="0"/>
        <w:snapToGrid w:val="0"/>
        <w:spacing w:line="560" w:lineRule="exact"/>
        <w:jc w:val="both"/>
        <w:rPr>
          <w:rFonts w:ascii="仿宋_GB2312" w:hAnsi="宋体" w:eastAsia="仿宋_GB2312" w:cs="宋体"/>
          <w:sz w:val="32"/>
          <w:szCs w:val="32"/>
        </w:rPr>
      </w:pPr>
      <w:r>
        <w:rPr>
          <w:rFonts w:hint="eastAsia" w:ascii="仿宋_GB2312" w:hAnsi="宋体" w:eastAsia="仿宋_GB2312" w:cs="宋体"/>
          <w:b/>
          <w:bCs/>
          <w:sz w:val="32"/>
          <w:szCs w:val="32"/>
        </w:rPr>
        <w:t>第</w:t>
      </w:r>
      <w:r>
        <w:rPr>
          <w:rFonts w:hint="eastAsia" w:ascii="仿宋_GB2312" w:hAnsi="宋体" w:eastAsia="仿宋_GB2312" w:cs="宋体"/>
          <w:b/>
          <w:bCs/>
          <w:sz w:val="32"/>
          <w:szCs w:val="32"/>
          <w:lang w:val="en-US" w:eastAsia="zh-CN"/>
        </w:rPr>
        <w:t>八十</w:t>
      </w:r>
      <w:r>
        <w:rPr>
          <w:rFonts w:hint="eastAsia" w:ascii="仿宋_GB2312" w:hAnsi="宋体" w:eastAsia="仿宋_GB2312" w:cs="宋体"/>
          <w:b/>
          <w:bCs/>
          <w:sz w:val="32"/>
          <w:szCs w:val="32"/>
        </w:rPr>
        <w:t>条</w:t>
      </w:r>
      <w:r>
        <w:rPr>
          <w:rFonts w:hint="eastAsia" w:ascii="仿宋_GB2312" w:hAnsi="宋体" w:eastAsia="仿宋_GB2312" w:cs="宋体"/>
          <w:sz w:val="32"/>
          <w:szCs w:val="32"/>
        </w:rPr>
        <w:t xml:space="preserve"> 本制度自</w:t>
      </w:r>
      <w:r>
        <w:rPr>
          <w:rFonts w:hint="eastAsia" w:ascii="仿宋_GB2312" w:hAnsi="宋体" w:eastAsia="仿宋_GB2312" w:cs="宋体"/>
          <w:sz w:val="32"/>
          <w:szCs w:val="32"/>
          <w:lang w:val="en-US" w:eastAsia="zh-CN"/>
        </w:rPr>
        <w:t>发</w:t>
      </w:r>
      <w:r>
        <w:rPr>
          <w:rFonts w:hint="eastAsia" w:ascii="仿宋_GB2312" w:hAnsi="宋体" w:eastAsia="仿宋_GB2312" w:cs="宋体"/>
          <w:sz w:val="32"/>
          <w:szCs w:val="32"/>
        </w:rPr>
        <w:t>布之日起实施。原《甘肃交通职业技术学院财务管理制度》（甘交院字〔2017〕177号）同时废止。</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706"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D5271">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E16A0">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75247">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62224">
    <w:pPr>
      <w:pStyle w:val="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62338">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67448">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2NmQ5NTQ5NTFmZThlNjVmYWJlM2I0ZTBhNWY5MDAifQ=="/>
  </w:docVars>
  <w:rsids>
    <w:rsidRoot w:val="158C769E"/>
    <w:rsid w:val="000214E5"/>
    <w:rsid w:val="0008705A"/>
    <w:rsid w:val="000B436E"/>
    <w:rsid w:val="000D6EBD"/>
    <w:rsid w:val="00144822"/>
    <w:rsid w:val="00187248"/>
    <w:rsid w:val="001958D2"/>
    <w:rsid w:val="001B41E1"/>
    <w:rsid w:val="001E0DCA"/>
    <w:rsid w:val="001F7146"/>
    <w:rsid w:val="002533F0"/>
    <w:rsid w:val="00292BAB"/>
    <w:rsid w:val="002B2962"/>
    <w:rsid w:val="002F5B99"/>
    <w:rsid w:val="00301E8F"/>
    <w:rsid w:val="003162FF"/>
    <w:rsid w:val="003D3D5B"/>
    <w:rsid w:val="00470543"/>
    <w:rsid w:val="004D2BD6"/>
    <w:rsid w:val="005031CB"/>
    <w:rsid w:val="00614DDB"/>
    <w:rsid w:val="006B6204"/>
    <w:rsid w:val="006C5B78"/>
    <w:rsid w:val="00786FE6"/>
    <w:rsid w:val="007956AE"/>
    <w:rsid w:val="007C272D"/>
    <w:rsid w:val="008059EA"/>
    <w:rsid w:val="00872361"/>
    <w:rsid w:val="00884621"/>
    <w:rsid w:val="008C74A1"/>
    <w:rsid w:val="009562D4"/>
    <w:rsid w:val="009D2A48"/>
    <w:rsid w:val="00B152F8"/>
    <w:rsid w:val="00B957FB"/>
    <w:rsid w:val="00BE3CC2"/>
    <w:rsid w:val="00C85F98"/>
    <w:rsid w:val="00CF252C"/>
    <w:rsid w:val="00D1419E"/>
    <w:rsid w:val="00DA3F61"/>
    <w:rsid w:val="00E937F6"/>
    <w:rsid w:val="00F00092"/>
    <w:rsid w:val="00F63472"/>
    <w:rsid w:val="00F84E3C"/>
    <w:rsid w:val="00FA2BF3"/>
    <w:rsid w:val="00FD320D"/>
    <w:rsid w:val="01C51C6F"/>
    <w:rsid w:val="037B40C5"/>
    <w:rsid w:val="05823149"/>
    <w:rsid w:val="06497B03"/>
    <w:rsid w:val="08B14353"/>
    <w:rsid w:val="0900390A"/>
    <w:rsid w:val="09AA4D5C"/>
    <w:rsid w:val="0A545055"/>
    <w:rsid w:val="0CCE2B10"/>
    <w:rsid w:val="0D041EBC"/>
    <w:rsid w:val="0D48519F"/>
    <w:rsid w:val="0DD57ECE"/>
    <w:rsid w:val="0DD759F4"/>
    <w:rsid w:val="0E8843B3"/>
    <w:rsid w:val="10303AE2"/>
    <w:rsid w:val="10A5627E"/>
    <w:rsid w:val="122A48A9"/>
    <w:rsid w:val="13B660AC"/>
    <w:rsid w:val="13C44C6D"/>
    <w:rsid w:val="158C769E"/>
    <w:rsid w:val="171677CD"/>
    <w:rsid w:val="17887D5F"/>
    <w:rsid w:val="18C80D5B"/>
    <w:rsid w:val="193F08F1"/>
    <w:rsid w:val="19472CE4"/>
    <w:rsid w:val="1A384B77"/>
    <w:rsid w:val="1A9B02C3"/>
    <w:rsid w:val="1B122762"/>
    <w:rsid w:val="1B300E3A"/>
    <w:rsid w:val="1BCC553F"/>
    <w:rsid w:val="1ED379CD"/>
    <w:rsid w:val="201B13BC"/>
    <w:rsid w:val="204D29F6"/>
    <w:rsid w:val="22431452"/>
    <w:rsid w:val="22AD1686"/>
    <w:rsid w:val="24B00F7B"/>
    <w:rsid w:val="261E3831"/>
    <w:rsid w:val="27050E90"/>
    <w:rsid w:val="27BC5F2F"/>
    <w:rsid w:val="287951E0"/>
    <w:rsid w:val="29370A8E"/>
    <w:rsid w:val="2A6361D0"/>
    <w:rsid w:val="2B6761B2"/>
    <w:rsid w:val="2BE617CC"/>
    <w:rsid w:val="2D825525"/>
    <w:rsid w:val="335438AF"/>
    <w:rsid w:val="343230D5"/>
    <w:rsid w:val="38B80361"/>
    <w:rsid w:val="390E5EBF"/>
    <w:rsid w:val="39550E16"/>
    <w:rsid w:val="39E537F4"/>
    <w:rsid w:val="39F41558"/>
    <w:rsid w:val="3B302853"/>
    <w:rsid w:val="3D4445A5"/>
    <w:rsid w:val="3EA915F1"/>
    <w:rsid w:val="3F942C57"/>
    <w:rsid w:val="3FBB48C6"/>
    <w:rsid w:val="41655E47"/>
    <w:rsid w:val="441449DF"/>
    <w:rsid w:val="473A07C7"/>
    <w:rsid w:val="48122849"/>
    <w:rsid w:val="4AB20E53"/>
    <w:rsid w:val="4C1C049B"/>
    <w:rsid w:val="4D0478AD"/>
    <w:rsid w:val="4D9D1FEB"/>
    <w:rsid w:val="4E3A6FE6"/>
    <w:rsid w:val="4E810A89"/>
    <w:rsid w:val="4E9609D8"/>
    <w:rsid w:val="4EA82401"/>
    <w:rsid w:val="545E3D46"/>
    <w:rsid w:val="547D35E1"/>
    <w:rsid w:val="54E3026A"/>
    <w:rsid w:val="56DA2F0D"/>
    <w:rsid w:val="58BA1767"/>
    <w:rsid w:val="58D53B75"/>
    <w:rsid w:val="5AC5005A"/>
    <w:rsid w:val="5B7B3430"/>
    <w:rsid w:val="5D2F51BA"/>
    <w:rsid w:val="5DC866D4"/>
    <w:rsid w:val="63484C17"/>
    <w:rsid w:val="65110961"/>
    <w:rsid w:val="66FD2ED3"/>
    <w:rsid w:val="69232A11"/>
    <w:rsid w:val="6C7D4B2E"/>
    <w:rsid w:val="70817BA8"/>
    <w:rsid w:val="70A66C19"/>
    <w:rsid w:val="7190386E"/>
    <w:rsid w:val="72671BC0"/>
    <w:rsid w:val="727B3EE3"/>
    <w:rsid w:val="72AD529D"/>
    <w:rsid w:val="74BC151D"/>
    <w:rsid w:val="775F5EA1"/>
    <w:rsid w:val="79B37DE1"/>
    <w:rsid w:val="7AA00365"/>
    <w:rsid w:val="7AA240DD"/>
    <w:rsid w:val="7B3F7B7E"/>
    <w:rsid w:val="7E423935"/>
    <w:rsid w:val="7FA164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3" w:firstLineChars="200"/>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autoRedefine/>
    <w:qFormat/>
    <w:uiPriority w:val="9"/>
    <w:pPr>
      <w:keepNext/>
      <w:keepLines/>
      <w:pageBreakBefore/>
      <w:widowControl/>
      <w:spacing w:before="260" w:after="20" w:line="413" w:lineRule="auto"/>
      <w:jc w:val="center"/>
      <w:outlineLvl w:val="1"/>
    </w:pPr>
    <w:rPr>
      <w:rFonts w:ascii="Arial" w:hAnsi="Arial"/>
      <w:b/>
      <w:sz w:val="30"/>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style>
  <w:style w:type="paragraph" w:styleId="5">
    <w:name w:val="Balloon Text"/>
    <w:basedOn w:val="1"/>
    <w:link w:val="11"/>
    <w:qFormat/>
    <w:uiPriority w:val="0"/>
    <w:pPr>
      <w:spacing w:line="240" w:lineRule="auto"/>
    </w:pPr>
    <w:rPr>
      <w:sz w:val="18"/>
      <w:szCs w:val="18"/>
    </w:rPr>
  </w:style>
  <w:style w:type="paragraph" w:styleId="6">
    <w:name w:val="footer"/>
    <w:basedOn w:val="1"/>
    <w:link w:val="13"/>
    <w:qFormat/>
    <w:uiPriority w:val="0"/>
    <w:pPr>
      <w:tabs>
        <w:tab w:val="center" w:pos="4153"/>
        <w:tab w:val="right" w:pos="8306"/>
      </w:tabs>
      <w:snapToGrid w:val="0"/>
      <w:spacing w:line="240" w:lineRule="auto"/>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spacing w:line="240" w:lineRule="auto"/>
      <w:jc w:val="center"/>
    </w:pPr>
    <w:rPr>
      <w:sz w:val="18"/>
      <w:szCs w:val="18"/>
    </w:rPr>
  </w:style>
  <w:style w:type="character" w:styleId="10">
    <w:name w:val="annotation reference"/>
    <w:basedOn w:val="9"/>
    <w:qFormat/>
    <w:uiPriority w:val="0"/>
    <w:rPr>
      <w:sz w:val="21"/>
      <w:szCs w:val="21"/>
    </w:rPr>
  </w:style>
  <w:style w:type="character" w:customStyle="1" w:styleId="11">
    <w:name w:val="批注框文本 字符"/>
    <w:basedOn w:val="9"/>
    <w:link w:val="5"/>
    <w:qFormat/>
    <w:uiPriority w:val="0"/>
    <w:rPr>
      <w:kern w:val="2"/>
      <w:sz w:val="18"/>
      <w:szCs w:val="18"/>
    </w:rPr>
  </w:style>
  <w:style w:type="character" w:customStyle="1" w:styleId="12">
    <w:name w:val="页眉 字符"/>
    <w:basedOn w:val="9"/>
    <w:link w:val="7"/>
    <w:qFormat/>
    <w:uiPriority w:val="0"/>
    <w:rPr>
      <w:kern w:val="2"/>
      <w:sz w:val="18"/>
      <w:szCs w:val="18"/>
    </w:rPr>
  </w:style>
  <w:style w:type="character" w:customStyle="1" w:styleId="13">
    <w:name w:val="页脚 字符"/>
    <w:basedOn w:val="9"/>
    <w:link w:val="6"/>
    <w:qFormat/>
    <w:uiPriority w:val="0"/>
    <w:rPr>
      <w:kern w:val="2"/>
      <w:sz w:val="18"/>
      <w:szCs w:val="18"/>
    </w:rPr>
  </w:style>
  <w:style w:type="paragraph" w:styleId="14">
    <w:name w:val="List Paragraph"/>
    <w:basedOn w:val="1"/>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7937</Words>
  <Characters>7960</Characters>
  <Lines>53</Lines>
  <Paragraphs>15</Paragraphs>
  <TotalTime>1</TotalTime>
  <ScaleCrop>false</ScaleCrop>
  <LinksUpToDate>false</LinksUpToDate>
  <CharactersWithSpaces>8061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2025-02-11T12:02:00Z</dcterms:created>
  <dc:creator>团子吖</dc:creator>
  <cp:lastModifiedBy>超级VIP费钱啊</cp:lastModifiedBy>
  <cp:lastPrinted>2026-06-25T03:05:00Z</cp:lastPrinted>
  <dcterms:modified xsi:type="dcterms:W3CDTF">2026-07-09T07:44:03Z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91DD1C4F8CD841A180BD24F154BD5609_13</vt:lpwstr>
  </property>
  <property fmtid="{D5CDD505-2E9C-101B-9397-08002B2CF9AE}" pid="4" name="KSOTemplateDocerSaveRecord">
    <vt:lpwstr>eyJoZGlkIjoiYjAxMTJhNWQ5ODc2YTY3NGU4MWQ0ZGRkMjU4NmJmODAiLCJ1c2VySWQiOiI4NTUyODE3MzQifQ==</vt:lpwstr>
  </property>
</Properties>
</file>