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57F23">
      <w:pPr>
        <w:pStyle w:val="2"/>
        <w:widowControl/>
        <w:adjustRightInd w:val="0"/>
        <w:snapToGrid w:val="0"/>
        <w:spacing w:beforeAutospacing="0" w:afterAutospacing="0" w:line="600" w:lineRule="exact"/>
        <w:jc w:val="center"/>
        <w:rPr>
          <w:rFonts w:ascii="方正小标宋简体" w:hAnsi="黑体" w:eastAsia="方正小标宋简体" w:cs="黑体"/>
          <w:b w:val="0"/>
          <w:bCs w:val="0"/>
          <w:color w:val="000000"/>
          <w:sz w:val="44"/>
          <w:szCs w:val="44"/>
        </w:rPr>
      </w:pPr>
      <w:r>
        <w:rPr>
          <w:rFonts w:ascii="方正小标宋简体" w:hAnsi="黑体" w:eastAsia="方正小标宋简体" w:cs="黑体"/>
          <w:b w:val="0"/>
          <w:bCs w:val="0"/>
          <w:color w:val="000000"/>
          <w:sz w:val="44"/>
          <w:szCs w:val="44"/>
        </w:rPr>
        <w:t>甘肃交通职业技术学院</w:t>
      </w:r>
      <w:r>
        <w:rPr>
          <w:rFonts w:ascii="方正小标宋简体" w:hAnsi="黑体" w:eastAsia="方正小标宋简体" w:cs="黑体"/>
          <w:b w:val="0"/>
          <w:bCs w:val="0"/>
          <w:color w:val="000000"/>
          <w:kern w:val="0"/>
          <w:sz w:val="44"/>
          <w:szCs w:val="44"/>
          <w:lang w:bidi="ar"/>
        </w:rPr>
        <w:t>纠治教育领域形式主义突出问题实施方案</w:t>
      </w:r>
    </w:p>
    <w:p w14:paraId="491278C5">
      <w:pPr>
        <w:adjustRightInd w:val="0"/>
        <w:snapToGrid w:val="0"/>
        <w:spacing w:line="560" w:lineRule="exact"/>
        <w:rPr>
          <w:rFonts w:hint="eastAsia" w:ascii="仿宋_GB2312" w:hAnsi="仿宋_GB2312" w:eastAsia="仿宋_GB2312" w:cs="仿宋_GB2312"/>
          <w:sz w:val="32"/>
          <w:szCs w:val="32"/>
        </w:rPr>
      </w:pPr>
    </w:p>
    <w:p w14:paraId="29B9E6DE">
      <w:pPr>
        <w:widowControl/>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为深入贯彻习近平总书记关于整治形式主义为基层减负重要指示批示精神，严格执行实省委及省教育厅基《纠治教育领域形式主义突出问题实施方案》的工作要求，纠治学校</w:t>
      </w:r>
      <w:r>
        <w:rPr>
          <w:rFonts w:hint="eastAsia" w:ascii="仿宋_GB2312" w:hAnsi="仿宋_GB2312" w:eastAsia="仿宋_GB2312" w:cs="仿宋_GB2312"/>
          <w:sz w:val="32"/>
          <w:szCs w:val="32"/>
        </w:rPr>
        <w:t>形式主义为基层减负工作部署</w:t>
      </w:r>
      <w:r>
        <w:rPr>
          <w:rFonts w:hint="eastAsia" w:ascii="仿宋_GB2312" w:hAnsi="仿宋_GB2312" w:eastAsia="仿宋_GB2312" w:cs="仿宋_GB2312"/>
          <w:color w:val="000000"/>
          <w:kern w:val="0"/>
          <w:sz w:val="32"/>
          <w:szCs w:val="32"/>
          <w:lang w:bidi="ar"/>
        </w:rPr>
        <w:t>，结合学校实际，现制定如下方案。</w:t>
      </w:r>
    </w:p>
    <w:p w14:paraId="5CA5C190">
      <w:pPr>
        <w:pStyle w:val="3"/>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一、纠治目标</w:t>
      </w:r>
    </w:p>
    <w:p w14:paraId="22AC6C95">
      <w:pPr>
        <w:widowControl/>
        <w:adjustRightInd w:val="0"/>
        <w:snapToGrid w:val="0"/>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bidi="ar"/>
        </w:rPr>
        <w:t>深入贯彻落实中央八项规定精神和《若于规定》以及省委关于减负的部署要求，结合树立和践行正确政绩观学习教育以及全省教育领域突出问题专项整治，</w:t>
      </w:r>
      <w:r>
        <w:rPr>
          <w:rFonts w:hint="eastAsia" w:ascii="仿宋_GB2312" w:hAnsi="仿宋_GB2312" w:eastAsia="仿宋_GB2312" w:cs="仿宋_GB2312"/>
          <w:sz w:val="32"/>
          <w:szCs w:val="32"/>
        </w:rPr>
        <w:t>焦形式主义突出问题，全面纠治督查检查考核、评比表彰及示范创建、“指尖上的形式主义”精文减会等方面的问题，坚持动真碰硬、久久为功，坚决纠治顽瘴痼疾与反复出现的问题，持续推进作风转变、提升工作效能</w:t>
      </w:r>
      <w:r>
        <w:rPr>
          <w:rFonts w:hint="eastAsia" w:ascii="仿宋_GB2312" w:hAnsi="仿宋_GB2312" w:eastAsia="仿宋_GB2312" w:cs="仿宋_GB2312"/>
          <w:color w:val="000000"/>
          <w:kern w:val="0"/>
          <w:sz w:val="32"/>
          <w:szCs w:val="32"/>
          <w:lang w:bidi="ar"/>
        </w:rPr>
        <w:t>，激励广大干部教师担当作为、真抓实干，推动学校高质量发展。</w:t>
      </w:r>
    </w:p>
    <w:p w14:paraId="4B759394">
      <w:pPr>
        <w:pStyle w:val="3"/>
        <w:widowControl/>
        <w:adjustRightInd w:val="0"/>
        <w:snapToGrid w:val="0"/>
        <w:spacing w:beforeAutospacing="0" w:afterAutospacing="0" w:line="560" w:lineRule="exact"/>
        <w:ind w:firstLine="964" w:firstLineChars="3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二、纠治重点工作</w:t>
      </w:r>
    </w:p>
    <w:p w14:paraId="2B7D9D42">
      <w:pPr>
        <w:adjustRightInd w:val="0"/>
        <w:snapToGrid w:val="0"/>
        <w:spacing w:line="56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本次专项纠治工作以学校各内设机构、二级学院为重点对象，坚持问题导向、靶向纠治，重点围绕以下</w:t>
      </w:r>
      <w:r>
        <w:rPr>
          <w:rStyle w:val="8"/>
          <w:rFonts w:hint="eastAsia" w:ascii="仿宋_GB2312" w:hAnsi="仿宋_GB2312" w:eastAsia="仿宋_GB2312" w:cs="仿宋_GB2312"/>
          <w:b w:val="0"/>
          <w:color w:val="000000"/>
          <w:sz w:val="32"/>
          <w:szCs w:val="32"/>
        </w:rPr>
        <w:t>4个方面</w:t>
      </w:r>
      <w:r>
        <w:rPr>
          <w:rFonts w:hint="eastAsia" w:ascii="仿宋_GB2312" w:hAnsi="仿宋_GB2312" w:eastAsia="仿宋_GB2312" w:cs="仿宋_GB2312"/>
          <w:sz w:val="32"/>
          <w:szCs w:val="32"/>
        </w:rPr>
        <w:t>开展集中整治。</w:t>
      </w:r>
    </w:p>
    <w:p w14:paraId="6F98E132">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（一）</w:t>
      </w:r>
      <w:bookmarkStart w:id="0" w:name="OLE_LINK1"/>
      <w:r>
        <w:rPr>
          <w:rFonts w:ascii="仿宋_GB2312" w:hAnsi="仿宋_GB2312" w:eastAsia="仿宋_GB2312" w:cs="仿宋_GB2312"/>
          <w:color w:val="000000"/>
          <w:sz w:val="32"/>
          <w:szCs w:val="32"/>
        </w:rPr>
        <w:t>实行督查检查考核事项清单管理</w:t>
      </w:r>
      <w:bookmarkEnd w:id="0"/>
    </w:p>
    <w:p w14:paraId="05540A6A">
      <w:pPr>
        <w:widowControl/>
        <w:adjustRightInd w:val="0"/>
        <w:snapToGrid w:val="0"/>
        <w:spacing w:line="560" w:lineRule="exact"/>
        <w:ind w:firstLine="960" w:firstLineChars="3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重点纠治未经报备擅自开展督查检查考核事项，假借调研名义开展督查检查的问题；开展督查检查考核方式单一僵化，过度依赖听取汇报、查看资料，走“经典路线”的问题；考核指标设置繁杂、层层加码、“搭车”设置内容等问题。严格执行准入审批制度，纳入年度计划管理，未列入计划一律不得开展。坚持“同类合并、能并则并”，实行总量控制，同一事项原则上每年只开展1次。建立“督导—反馈—整改—复查” 闭环机制，突出实绩导向，简化台账资料，杜绝过度留痕。</w:t>
      </w:r>
      <w:r>
        <w:rPr>
          <w:rStyle w:val="8"/>
          <w:rFonts w:hint="eastAsia" w:ascii="仿宋_GB2312" w:hAnsi="仿宋_GB2312" w:eastAsia="仿宋_GB2312" w:cs="仿宋_GB2312"/>
          <w:bCs/>
          <w:color w:val="000000"/>
          <w:kern w:val="0"/>
          <w:sz w:val="32"/>
          <w:szCs w:val="32"/>
          <w:lang w:bidi="ar"/>
        </w:rPr>
        <w:t>责任部门：各职能部门</w:t>
      </w:r>
    </w:p>
    <w:p w14:paraId="4EE0DC8E">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（二）优化</w:t>
      </w:r>
      <w:bookmarkStart w:id="1" w:name="OLE_LINK3"/>
      <w:r>
        <w:rPr>
          <w:rFonts w:ascii="仿宋_GB2312" w:hAnsi="仿宋_GB2312" w:eastAsia="仿宋_GB2312" w:cs="仿宋_GB2312"/>
          <w:color w:val="000000"/>
          <w:sz w:val="32"/>
          <w:szCs w:val="32"/>
        </w:rPr>
        <w:t>评比表彰及示范创建</w:t>
      </w:r>
      <w:bookmarkEnd w:id="1"/>
      <w:r>
        <w:rPr>
          <w:rFonts w:ascii="仿宋_GB2312" w:hAnsi="仿宋_GB2312" w:eastAsia="仿宋_GB2312" w:cs="仿宋_GB2312"/>
          <w:color w:val="000000"/>
          <w:sz w:val="32"/>
          <w:szCs w:val="32"/>
        </w:rPr>
        <w:t>项目</w:t>
      </w:r>
    </w:p>
    <w:p w14:paraId="02EFB358">
      <w:pPr>
        <w:widowControl/>
        <w:adjustRightInd w:val="0"/>
        <w:snapToGrid w:val="0"/>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重点纠治未按程序审批自行开展评比表彰、示范创建，违规开展清单以外项目，已撤销项目变相恢复等问题；以通报表扬名义变相开展评比，违规发放奖金，自行配套上级创建活动等问题；对未经批准开展的评比表彰和示范创建活动进行宣传报道的问题；严格对标上级部署要求，列入清单的项目按规范流程开展，未经审批一律不得开展。同一项工作不得同时开展评比表彰和创建示范。强化监督管理，对未经批准擅自开展的，立即叫停并撤销认定结果。规范各类竞赛、创建活动管理。</w:t>
      </w:r>
      <w:r>
        <w:rPr>
          <w:rStyle w:val="8"/>
          <w:rFonts w:hint="eastAsia" w:ascii="仿宋_GB2312" w:hAnsi="仿宋_GB2312" w:eastAsia="仿宋_GB2312" w:cs="仿宋_GB2312"/>
          <w:bCs/>
          <w:color w:val="000000"/>
          <w:kern w:val="0"/>
          <w:sz w:val="32"/>
          <w:szCs w:val="32"/>
          <w:lang w:bidi="ar"/>
        </w:rPr>
        <w:t>责任部门：党委教师工作部（人事处）、党委宣传统战部、教务处</w:t>
      </w:r>
    </w:p>
    <w:p w14:paraId="31F4B2BC">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（三）坚决摒弃“指尖上的形式主义”</w:t>
      </w:r>
    </w:p>
    <w:p w14:paraId="5AF2FC79">
      <w:pPr>
        <w:widowControl/>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重点纠治随意要求师生下载注册APP、完成打卡、知识竞赛、截图上传等问题；强制关注公众号、工作群打卡留痕、朋友圈转发等问题；多头要数据、材料不共享、重复填表报数等问题。严格规范校园 APP、网络平台、工作群、公众号管理，落实“白名单”制度，名单外不得强制使用。全面清理冗余群聊、僵尸账号，严禁强制点赞、投票、打卡、转发。推进数据共享与</w:t>
      </w:r>
      <w:bookmarkStart w:id="3" w:name="_GoBack"/>
      <w:bookmarkEnd w:id="3"/>
      <w:r>
        <w:rPr>
          <w:rFonts w:hint="eastAsia" w:ascii="仿宋_GB2312" w:hAnsi="仿宋_GB2312" w:eastAsia="仿宋_GB2312" w:cs="仿宋_GB2312"/>
          <w:color w:val="000000"/>
          <w:kern w:val="0"/>
          <w:sz w:val="32"/>
          <w:szCs w:val="32"/>
          <w:lang w:bidi="ar"/>
        </w:rPr>
        <w:t>“一表通”采集，实现一次采集、多方复用，切实减轻基层负担。</w:t>
      </w:r>
      <w:r>
        <w:rPr>
          <w:rStyle w:val="8"/>
          <w:rFonts w:hint="eastAsia" w:ascii="仿宋_GB2312" w:hAnsi="仿宋_GB2312" w:eastAsia="仿宋_GB2312" w:cs="仿宋_GB2312"/>
          <w:bCs/>
          <w:color w:val="000000"/>
          <w:kern w:val="0"/>
          <w:sz w:val="32"/>
          <w:szCs w:val="32"/>
          <w:lang w:bidi="ar"/>
        </w:rPr>
        <w:t>责任部门：党委宣传统战部、网络信息中心、党委学生工作部（学生工作处）</w:t>
      </w:r>
    </w:p>
    <w:p w14:paraId="618E755B">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（四）加大精文减会及调研统筹力度</w:t>
      </w:r>
    </w:p>
    <w:p w14:paraId="775AE1A8">
      <w:pPr>
        <w:widowControl/>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重点纠治文件过多、隐形发文、篇幅过长、照搬照抄等问题；会议统筹不到位、扎堆开会、规模过大、效率不高、层层陪会等问题；调研多头重复、集中扎堆、走马观花、重形式轻实效等问题。严格实行文件、会议年度计划与总量管控，落实“短实新”文风，严控篇幅。能合并的会议合并召开，能线上的不线下，严控时长与规模。加大调研统筹，避免同一时间段对同一单位重复调研，强化调研成果转化运用，防止走过场式调研。</w:t>
      </w:r>
      <w:r>
        <w:rPr>
          <w:rStyle w:val="8"/>
          <w:rFonts w:hint="eastAsia" w:ascii="仿宋_GB2312" w:hAnsi="仿宋_GB2312" w:eastAsia="仿宋_GB2312" w:cs="仿宋_GB2312"/>
          <w:bCs/>
          <w:color w:val="000000"/>
          <w:kern w:val="0"/>
          <w:sz w:val="32"/>
          <w:szCs w:val="32"/>
          <w:lang w:bidi="ar"/>
        </w:rPr>
        <w:t>责任部门：党政办公室、各部门、各二级学院</w:t>
      </w:r>
    </w:p>
    <w:p w14:paraId="470E23F3">
      <w:pPr>
        <w:pStyle w:val="3"/>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三、实施步骤</w:t>
      </w:r>
    </w:p>
    <w:p w14:paraId="73D17F34">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（一）动员部署</w:t>
      </w:r>
    </w:p>
    <w:p w14:paraId="37CAEC5A">
      <w:pPr>
        <w:widowControl/>
        <w:adjustRightInd w:val="0"/>
        <w:snapToGrid w:val="0"/>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各部门、各二级学院召开专题会议，部署形式主义突出问题专项纠治工作，明确任务分工、责任主体和工作要求，全面启动专项整治。（2026年4月底前）</w:t>
      </w:r>
    </w:p>
    <w:p w14:paraId="51329953">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（二）集中攻坚</w:t>
      </w:r>
    </w:p>
    <w:p w14:paraId="17ED88AE">
      <w:pPr>
        <w:widowControl/>
        <w:adjustRightInd w:val="0"/>
        <w:snapToGrid w:val="0"/>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各部门、各二级学院围绕重点纠治内容全面排查，摸清底数，形成问题清单。建立整改台账，分类施治、精准施策，逐项整改销号。学校定期督导检查，完善监测、通报、约谈机制，确保整改到位。（2026年6月底前）</w:t>
      </w:r>
    </w:p>
    <w:p w14:paraId="1650D147">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（三）总结提升</w:t>
      </w:r>
    </w:p>
    <w:p w14:paraId="12EB3D58">
      <w:pPr>
        <w:widowControl/>
        <w:adjustRightInd w:val="0"/>
        <w:snapToGrid w:val="0"/>
        <w:spacing w:line="560" w:lineRule="exact"/>
        <w:ind w:firstLine="320" w:firstLineChars="1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学院组织开展专项整治评估，对整改不彻底、效果不明显的问题建立“回头看”台账，实行清单销号管理。总结经验做法，完善长效机制，巩固整治成果，推动纠治形式主义、为基层减负工作常态化、长效化。（长期坚持）</w:t>
      </w:r>
    </w:p>
    <w:p w14:paraId="71BFCD72">
      <w:pPr>
        <w:pStyle w:val="3"/>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四、工作要求</w:t>
      </w:r>
    </w:p>
    <w:p w14:paraId="1E1FB06E">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（一）提高站位，压实责任</w:t>
      </w:r>
    </w:p>
    <w:p w14:paraId="1B29E291">
      <w:pPr>
        <w:widowControl/>
        <w:adjustRightInd w:val="0"/>
        <w:snapToGrid w:val="0"/>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各部门、各二级学院要深入学习习近平总书记关于力戒形式主义、官僚主义重要论述，把专项纠治作为重要政治任务，加强组织领导，压实主体责任，主要负责同志亲自部署、亲自督办。</w:t>
      </w:r>
    </w:p>
    <w:p w14:paraId="0E5B59DD">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（二）完善机制，加强协调</w:t>
      </w:r>
    </w:p>
    <w:p w14:paraId="659F9E63">
      <w:pPr>
        <w:widowControl/>
        <w:adjustRightInd w:val="0"/>
        <w:snapToGrid w:val="0"/>
        <w:spacing w:line="56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学院党委负总责，党政办公室牵头统筹，各部门分工负责、协同推进。厘清职责边界，强化沟通配合，形成上下联动、齐抓共管工作格局，确保专项纠治落地见效。</w:t>
      </w:r>
    </w:p>
    <w:p w14:paraId="2A56786E">
      <w:pPr>
        <w:pStyle w:val="4"/>
        <w:widowControl/>
        <w:adjustRightInd w:val="0"/>
        <w:snapToGrid w:val="0"/>
        <w:spacing w:beforeAutospacing="0" w:afterAutospacing="0" w:line="560" w:lineRule="exact"/>
        <w:ind w:firstLine="643" w:firstLineChars="20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t>（三）系统治理，务求实效</w:t>
      </w:r>
    </w:p>
    <w:p w14:paraId="77D34F8B">
      <w:pPr>
        <w:widowControl/>
        <w:adjustRightInd w:val="0"/>
        <w:snapToGrid w:val="0"/>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lang w:bidi="ar"/>
        </w:rPr>
        <w:t>坚持久久为功、标本兼治，推动从 “解决一个问题” 向 “解决一类问题” 延伸。把纠治形式主义与教育教学提质、管理服务增效相结合，以师生获得感检验整治成效，为学院高质量发展提供坚强作风保障。</w:t>
      </w:r>
    </w:p>
    <w:p w14:paraId="53E2AAC1">
      <w:pPr>
        <w:widowControl/>
        <w:adjustRightInd w:val="0"/>
        <w:snapToGrid w:val="0"/>
        <w:spacing w:line="560" w:lineRule="exact"/>
        <w:ind w:firstLine="640" w:firstLineChars="200"/>
        <w:jc w:val="left"/>
        <w:rPr>
          <w:rFonts w:ascii="仿宋_GB2312" w:hAnsi="仿宋_GB2312" w:eastAsia="仿宋_GB2312" w:cs="仿宋_GB2312"/>
          <w:color w:val="000000"/>
          <w:kern w:val="0"/>
          <w:sz w:val="32"/>
          <w:szCs w:val="32"/>
          <w:lang w:bidi="ar"/>
        </w:rPr>
      </w:pPr>
    </w:p>
    <w:p w14:paraId="57DD5EC3">
      <w:pPr>
        <w:widowControl/>
        <w:adjustRightInd w:val="0"/>
        <w:snapToGrid w:val="0"/>
        <w:spacing w:line="560" w:lineRule="exact"/>
        <w:ind w:left="1540" w:leftChars="200" w:hanging="1120" w:hangingChars="350"/>
        <w:jc w:val="left"/>
        <w:rPr>
          <w:rFonts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附件：</w:t>
      </w:r>
      <w:bookmarkStart w:id="2" w:name="OLE_LINK2"/>
      <w:r>
        <w:rPr>
          <w:rFonts w:hint="eastAsia" w:ascii="仿宋_GB2312" w:hAnsi="仿宋_GB2312" w:eastAsia="仿宋_GB2312" w:cs="仿宋_GB2312"/>
          <w:color w:val="000000"/>
          <w:kern w:val="0"/>
          <w:sz w:val="32"/>
          <w:szCs w:val="32"/>
          <w:lang w:bidi="ar"/>
        </w:rPr>
        <w:t>纠治形式主义突出问题为基层减负自查摸底表</w:t>
      </w:r>
      <w:bookmarkEnd w:id="2"/>
    </w:p>
    <w:p w14:paraId="6C629640">
      <w:pPr>
        <w:widowControl/>
        <w:jc w:val="left"/>
        <w:rPr>
          <w:rFonts w:hint="eastAsia" w:ascii="仿宋_GB2312" w:hAnsi="仿宋_GB2312" w:eastAsia="仿宋_GB2312" w:cs="仿宋_GB2312"/>
          <w:color w:val="000000"/>
          <w:kern w:val="0"/>
          <w:sz w:val="32"/>
          <w:szCs w:val="32"/>
          <w:lang w:bidi="ar"/>
        </w:rPr>
        <w:sectPr>
          <w:pgSz w:w="11906" w:h="16838"/>
          <w:pgMar w:top="1440" w:right="1800" w:bottom="1440" w:left="1800" w:header="851" w:footer="992" w:gutter="0"/>
          <w:cols w:space="425" w:num="1"/>
          <w:docGrid w:type="lines" w:linePitch="312" w:charSpace="0"/>
        </w:sectPr>
      </w:pPr>
    </w:p>
    <w:p w14:paraId="7550E5DA">
      <w:pPr>
        <w:widowControl/>
        <w:adjustRightInd w:val="0"/>
        <w:snapToGrid w:val="0"/>
        <w:spacing w:line="560" w:lineRule="exact"/>
        <w:ind w:left="1540" w:leftChars="200" w:hanging="1120" w:hangingChars="350"/>
        <w:jc w:val="left"/>
        <w:rPr>
          <w:rFonts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附件：</w:t>
      </w:r>
    </w:p>
    <w:tbl>
      <w:tblPr>
        <w:tblStyle w:val="6"/>
        <w:tblpPr w:leftFromText="180" w:rightFromText="180" w:vertAnchor="text" w:horzAnchor="margin" w:tblpY="1175"/>
        <w:tblW w:w="14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4"/>
        <w:gridCol w:w="3544"/>
        <w:gridCol w:w="4110"/>
        <w:gridCol w:w="2772"/>
      </w:tblGrid>
      <w:tr w14:paraId="4BDD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3794" w:type="dxa"/>
            <w:vAlign w:val="center"/>
          </w:tcPr>
          <w:p w14:paraId="77F1520A">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形式主义问题类别</w:t>
            </w:r>
          </w:p>
        </w:tc>
        <w:tc>
          <w:tcPr>
            <w:tcW w:w="3544" w:type="dxa"/>
            <w:vAlign w:val="center"/>
          </w:tcPr>
          <w:p w14:paraId="7FE53EAB">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表现形式</w:t>
            </w:r>
          </w:p>
        </w:tc>
        <w:tc>
          <w:tcPr>
            <w:tcW w:w="4110" w:type="dxa"/>
            <w:vAlign w:val="center"/>
          </w:tcPr>
          <w:p w14:paraId="18A21BD6">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整改建议</w:t>
            </w:r>
          </w:p>
        </w:tc>
        <w:tc>
          <w:tcPr>
            <w:tcW w:w="2772" w:type="dxa"/>
            <w:vAlign w:val="center"/>
          </w:tcPr>
          <w:p w14:paraId="1E12A202">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整改责任单位</w:t>
            </w:r>
          </w:p>
        </w:tc>
      </w:tr>
      <w:tr w14:paraId="2B94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3794" w:type="dxa"/>
            <w:vAlign w:val="center"/>
          </w:tcPr>
          <w:p w14:paraId="1A3C60BA">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督查检查考核方面</w:t>
            </w:r>
          </w:p>
        </w:tc>
        <w:tc>
          <w:tcPr>
            <w:tcW w:w="3544" w:type="dxa"/>
          </w:tcPr>
          <w:p w14:paraId="19578601">
            <w:pPr>
              <w:widowControl/>
              <w:adjustRightInd w:val="0"/>
              <w:snapToGrid w:val="0"/>
              <w:spacing w:line="560" w:lineRule="exact"/>
              <w:ind w:left="139" w:leftChars="66"/>
              <w:jc w:val="lef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示例：</w:t>
            </w:r>
          </w:p>
          <w:p w14:paraId="4DBCA450">
            <w:pPr>
              <w:widowControl/>
              <w:adjustRightInd w:val="0"/>
              <w:snapToGrid w:val="0"/>
              <w:spacing w:line="560" w:lineRule="exact"/>
              <w:ind w:left="139" w:leftChars="66"/>
              <w:jc w:val="lef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1.**处开展的**检查过多</w:t>
            </w:r>
            <w:r>
              <w:rPr>
                <w:rFonts w:ascii="仿宋_GB2312" w:hAnsi="仿宋_GB2312" w:eastAsia="仿宋_GB2312" w:cs="仿宋_GB2312"/>
                <w:color w:val="000000"/>
                <w:kern w:val="0"/>
                <w:sz w:val="24"/>
                <w:lang w:bidi="ar"/>
              </w:rPr>
              <w:br w:type="textWrapping"/>
            </w:r>
            <w:r>
              <w:rPr>
                <w:rFonts w:hint="eastAsia" w:ascii="仿宋_GB2312" w:hAnsi="仿宋_GB2312" w:eastAsia="仿宋_GB2312" w:cs="仿宋_GB2312"/>
                <w:color w:val="000000"/>
                <w:kern w:val="0"/>
                <w:sz w:val="24"/>
                <w:lang w:bidi="ar"/>
              </w:rPr>
              <w:t>2.**处开展的考核不合理</w:t>
            </w:r>
            <w:r>
              <w:rPr>
                <w:rFonts w:ascii="仿宋_GB2312" w:hAnsi="仿宋_GB2312" w:eastAsia="仿宋_GB2312" w:cs="仿宋_GB2312"/>
                <w:color w:val="000000"/>
                <w:kern w:val="0"/>
                <w:sz w:val="24"/>
                <w:lang w:bidi="ar"/>
              </w:rPr>
              <w:br w:type="textWrapping"/>
            </w:r>
            <w:r>
              <w:rPr>
                <w:rFonts w:ascii="仿宋_GB2312" w:hAnsi="仿宋_GB2312" w:eastAsia="仿宋_GB2312" w:cs="仿宋_GB2312"/>
                <w:color w:val="000000"/>
                <w:kern w:val="0"/>
                <w:sz w:val="24"/>
                <w:lang w:bidi="ar"/>
              </w:rPr>
              <w:t>…</w:t>
            </w:r>
          </w:p>
        </w:tc>
        <w:tc>
          <w:tcPr>
            <w:tcW w:w="4110" w:type="dxa"/>
          </w:tcPr>
          <w:p w14:paraId="58F863A2">
            <w:pPr>
              <w:widowControl/>
              <w:adjustRightInd w:val="0"/>
              <w:snapToGrid w:val="0"/>
              <w:spacing w:line="560" w:lineRule="exact"/>
              <w:ind w:left="1260" w:leftChars="200" w:hanging="840" w:hangingChars="350"/>
              <w:jc w:val="left"/>
              <w:rPr>
                <w:rFonts w:ascii="仿宋_GB2312" w:hAnsi="仿宋_GB2312" w:eastAsia="仿宋_GB2312" w:cs="仿宋_GB2312"/>
                <w:color w:val="000000"/>
                <w:kern w:val="0"/>
                <w:sz w:val="24"/>
                <w:lang w:bidi="ar"/>
              </w:rPr>
            </w:pPr>
          </w:p>
          <w:p w14:paraId="4C131E22">
            <w:pPr>
              <w:widowControl/>
              <w:adjustRightInd w:val="0"/>
              <w:snapToGrid w:val="0"/>
              <w:spacing w:line="560" w:lineRule="exact"/>
              <w:ind w:left="139" w:leftChars="66"/>
              <w:jc w:val="lef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1.建议减少检查频次，一学期一次</w:t>
            </w:r>
            <w:r>
              <w:rPr>
                <w:rFonts w:ascii="仿宋_GB2312" w:hAnsi="仿宋_GB2312" w:eastAsia="仿宋_GB2312" w:cs="仿宋_GB2312"/>
                <w:color w:val="000000"/>
                <w:kern w:val="0"/>
                <w:sz w:val="24"/>
                <w:lang w:bidi="ar"/>
              </w:rPr>
              <w:br w:type="textWrapping"/>
            </w:r>
            <w:r>
              <w:rPr>
                <w:rFonts w:hint="eastAsia" w:ascii="仿宋_GB2312" w:hAnsi="仿宋_GB2312" w:eastAsia="仿宋_GB2312" w:cs="仿宋_GB2312"/>
                <w:color w:val="000000"/>
                <w:kern w:val="0"/>
                <w:sz w:val="24"/>
                <w:lang w:bidi="ar"/>
              </w:rPr>
              <w:t>2.建议学校</w:t>
            </w:r>
            <w:r>
              <w:rPr>
                <w:rFonts w:ascii="仿宋_GB2312" w:hAnsi="仿宋_GB2312" w:eastAsia="仿宋_GB2312" w:cs="仿宋_GB2312"/>
                <w:color w:val="000000"/>
                <w:kern w:val="0"/>
                <w:sz w:val="24"/>
                <w:lang w:bidi="ar"/>
              </w:rPr>
              <w:br w:type="textWrapping"/>
            </w:r>
            <w:r>
              <w:rPr>
                <w:rFonts w:ascii="仿宋_GB2312" w:hAnsi="仿宋_GB2312" w:eastAsia="仿宋_GB2312" w:cs="仿宋_GB2312"/>
                <w:color w:val="000000"/>
                <w:kern w:val="0"/>
                <w:sz w:val="24"/>
                <w:lang w:bidi="ar"/>
              </w:rPr>
              <w:t>…</w:t>
            </w:r>
          </w:p>
        </w:tc>
        <w:tc>
          <w:tcPr>
            <w:tcW w:w="2772" w:type="dxa"/>
          </w:tcPr>
          <w:p w14:paraId="1477E7DB">
            <w:pPr>
              <w:widowControl/>
              <w:adjustRightInd w:val="0"/>
              <w:snapToGrid w:val="0"/>
              <w:spacing w:line="560" w:lineRule="exact"/>
              <w:ind w:left="1260" w:leftChars="200" w:hanging="840" w:hangingChars="350"/>
              <w:jc w:val="left"/>
              <w:rPr>
                <w:rFonts w:ascii="仿宋_GB2312" w:hAnsi="仿宋_GB2312" w:eastAsia="仿宋_GB2312" w:cs="仿宋_GB2312"/>
                <w:color w:val="000000"/>
                <w:kern w:val="0"/>
                <w:sz w:val="24"/>
                <w:lang w:bidi="ar"/>
              </w:rPr>
            </w:pPr>
          </w:p>
          <w:p w14:paraId="57066671">
            <w:pPr>
              <w:widowControl/>
              <w:adjustRightInd w:val="0"/>
              <w:snapToGrid w:val="0"/>
              <w:spacing w:line="560" w:lineRule="exact"/>
              <w:ind w:left="1260" w:leftChars="200" w:hanging="840" w:hangingChars="350"/>
              <w:jc w:val="lef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1.**处</w:t>
            </w:r>
          </w:p>
        </w:tc>
      </w:tr>
      <w:tr w14:paraId="3CC83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3794" w:type="dxa"/>
            <w:vAlign w:val="center"/>
          </w:tcPr>
          <w:p w14:paraId="0B1B36F0">
            <w:pPr>
              <w:widowControl/>
              <w:adjustRightInd w:val="0"/>
              <w:snapToGrid w:val="0"/>
              <w:spacing w:line="560" w:lineRule="exact"/>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评比表彰及示范创建方面</w:t>
            </w:r>
          </w:p>
        </w:tc>
        <w:tc>
          <w:tcPr>
            <w:tcW w:w="3544" w:type="dxa"/>
          </w:tcPr>
          <w:p w14:paraId="2E1759D3">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4110" w:type="dxa"/>
          </w:tcPr>
          <w:p w14:paraId="50DDB5D0">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2772" w:type="dxa"/>
          </w:tcPr>
          <w:p w14:paraId="6494D54F">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r>
      <w:tr w14:paraId="34383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3794" w:type="dxa"/>
            <w:vAlign w:val="center"/>
          </w:tcPr>
          <w:p w14:paraId="67B3AEFC">
            <w:pPr>
              <w:widowControl/>
              <w:adjustRightInd w:val="0"/>
              <w:snapToGrid w:val="0"/>
              <w:spacing w:line="560" w:lineRule="exact"/>
              <w:ind w:left="139" w:leftChars="66"/>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摒弃“指尖上的形式主义”方面</w:t>
            </w:r>
          </w:p>
        </w:tc>
        <w:tc>
          <w:tcPr>
            <w:tcW w:w="3544" w:type="dxa"/>
          </w:tcPr>
          <w:p w14:paraId="734CEBF6">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4110" w:type="dxa"/>
          </w:tcPr>
          <w:p w14:paraId="69052437">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2772" w:type="dxa"/>
          </w:tcPr>
          <w:p w14:paraId="054B48E5">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r>
      <w:tr w14:paraId="6B52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3794" w:type="dxa"/>
            <w:vAlign w:val="center"/>
          </w:tcPr>
          <w:p w14:paraId="6B9A7C55">
            <w:pPr>
              <w:widowControl/>
              <w:adjustRightInd w:val="0"/>
              <w:snapToGrid w:val="0"/>
              <w:spacing w:line="560" w:lineRule="exact"/>
              <w:jc w:val="center"/>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精文减会及调研统筹</w:t>
            </w:r>
          </w:p>
        </w:tc>
        <w:tc>
          <w:tcPr>
            <w:tcW w:w="3544" w:type="dxa"/>
          </w:tcPr>
          <w:p w14:paraId="20A0B561">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4110" w:type="dxa"/>
          </w:tcPr>
          <w:p w14:paraId="505AFE50">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c>
          <w:tcPr>
            <w:tcW w:w="2772" w:type="dxa"/>
          </w:tcPr>
          <w:p w14:paraId="4DDB261E">
            <w:pPr>
              <w:widowControl/>
              <w:adjustRightInd w:val="0"/>
              <w:snapToGrid w:val="0"/>
              <w:spacing w:line="560" w:lineRule="exact"/>
              <w:ind w:left="1260" w:leftChars="200" w:hanging="840" w:hangingChars="350"/>
              <w:jc w:val="center"/>
              <w:rPr>
                <w:rFonts w:hint="eastAsia" w:ascii="仿宋_GB2312" w:hAnsi="仿宋_GB2312" w:eastAsia="仿宋_GB2312" w:cs="仿宋_GB2312"/>
                <w:color w:val="000000"/>
                <w:kern w:val="0"/>
                <w:sz w:val="24"/>
                <w:lang w:bidi="ar"/>
              </w:rPr>
            </w:pPr>
          </w:p>
        </w:tc>
      </w:tr>
    </w:tbl>
    <w:p w14:paraId="1CCBC7FB">
      <w:pPr>
        <w:widowControl/>
        <w:adjustRightInd w:val="0"/>
        <w:snapToGrid w:val="0"/>
        <w:spacing w:line="560" w:lineRule="exact"/>
        <w:ind w:left="1540" w:leftChars="200" w:hanging="1120" w:hangingChars="350"/>
        <w:jc w:val="center"/>
        <w:rPr>
          <w:rFonts w:hint="eastAsia" w:ascii="仿宋_GB2312" w:hAnsi="仿宋_GB2312" w:eastAsia="仿宋_GB2312" w:cs="仿宋_GB2312"/>
          <w:color w:val="000000"/>
          <w:kern w:val="0"/>
          <w:sz w:val="32"/>
          <w:szCs w:val="32"/>
          <w:lang w:bidi="ar"/>
        </w:rPr>
      </w:pPr>
      <w:r>
        <w:rPr>
          <w:rFonts w:hint="eastAsia" w:ascii="仿宋_GB2312" w:hAnsi="仿宋_GB2312" w:eastAsia="仿宋_GB2312" w:cs="仿宋_GB2312"/>
          <w:color w:val="000000"/>
          <w:kern w:val="0"/>
          <w:sz w:val="32"/>
          <w:szCs w:val="32"/>
          <w:lang w:bidi="ar"/>
        </w:rPr>
        <w:t>纠治形式主义突出问题为基层减负自查摸底表</w:t>
      </w:r>
      <w:r>
        <w:rPr>
          <w:rFonts w:ascii="仿宋_GB2312" w:hAnsi="仿宋_GB2312" w:eastAsia="仿宋_GB2312" w:cs="仿宋_GB2312"/>
          <w:color w:val="000000"/>
          <w:kern w:val="0"/>
          <w:sz w:val="32"/>
          <w:szCs w:val="32"/>
          <w:lang w:bidi="ar"/>
        </w:rPr>
        <w:br w:type="textWrapping"/>
      </w:r>
      <w:r>
        <w:rPr>
          <w:rFonts w:hint="eastAsia" w:ascii="仿宋_GB2312" w:hAnsi="仿宋_GB2312" w:eastAsia="仿宋_GB2312" w:cs="仿宋_GB2312"/>
          <w:color w:val="000000"/>
          <w:kern w:val="0"/>
          <w:sz w:val="32"/>
          <w:szCs w:val="32"/>
          <w:lang w:bidi="ar"/>
        </w:rPr>
        <w:t>填报单位：                                              主要负责人（签章）：</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67A03"/>
    <w:rsid w:val="00172A27"/>
    <w:rsid w:val="002C3AAC"/>
    <w:rsid w:val="00751D5B"/>
    <w:rsid w:val="00B27340"/>
    <w:rsid w:val="00C31B00"/>
    <w:rsid w:val="00F17FD2"/>
    <w:rsid w:val="00F53C66"/>
    <w:rsid w:val="0A862F3D"/>
    <w:rsid w:val="12FE3093"/>
    <w:rsid w:val="456E0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2106</Words>
  <Characters>2128</Characters>
  <Lines>15</Lines>
  <Paragraphs>4</Paragraphs>
  <TotalTime>20</TotalTime>
  <ScaleCrop>false</ScaleCrop>
  <LinksUpToDate>false</LinksUpToDate>
  <CharactersWithSpaces>2182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2026-04-13T08:35:00Z</dcterms:created>
  <dc:creator>Lenovo</dc:creator>
  <cp:lastModifiedBy>流星</cp:lastModifiedBy>
  <dcterms:modified xsi:type="dcterms:W3CDTF">2026-04-23T04:13:38Z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eyJoZGlkIjoiZDg4ZTMyMWI2ZWViNWJiYWE2NjUyZGY2ZjI0ZWJlM2IiLCJ1c2VySWQiOiIzNjA2MDcyODYifQ==</vt:lpwstr>
  </property>
  <property fmtid="{D5CDD505-2E9C-101B-9397-08002B2CF9AE}" pid="4" name="ICV">
    <vt:lpwstr>264203563D1940648C9FE58FD1E7B7C1_12</vt:lpwstr>
  </property>
</Properties>
</file>