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pPr>
      <w:r>
        <w:rPr>
          <w:rFonts w:hint="eastAsia" w:ascii="方正小标宋简体" w:hAnsi="方正小标宋简体" w:eastAsia="方正小标宋简体" w:cs="方正小标宋简体"/>
          <w:color w:val="333333"/>
          <w:sz w:val="44"/>
          <w:szCs w:val="44"/>
          <w:shd w:val="clear" w:color="auto" w:fill="FFFFFF"/>
        </w:rPr>
        <w:t>甘肃交通职业技术学院关于建立健全师德建设长效机制的实施意见</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shd w:val="clear" w:color="auto" w:fill="FFFFFF"/>
        </w:rPr>
      </w:pP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lang w:eastAsia="zh-CN"/>
        </w:rPr>
      </w:pPr>
      <w:r>
        <w:rPr>
          <w:rFonts w:hint="eastAsia" w:ascii="仿宋_GB2312" w:hAnsi="仿宋_GB2312" w:eastAsia="仿宋_GB2312" w:cs="仿宋_GB2312"/>
          <w:color w:val="333333"/>
          <w:sz w:val="32"/>
          <w:szCs w:val="32"/>
          <w:shd w:val="clear" w:color="auto" w:fill="FFFFFF"/>
        </w:rPr>
        <w:t>为进一步加强和改进新形势下学校师德建设，构建师德建设长效机制，根据《教育部关于建立健全高校师德建设长效机制的意见》《新时代高校教师职业行为十项准则》等文件精神，结合学校实际，制定本实施意见</w:t>
      </w:r>
      <w:r>
        <w:rPr>
          <w:rFonts w:hint="eastAsia" w:ascii="仿宋_GB2312" w:hAnsi="仿宋_GB2312" w:eastAsia="仿宋_GB2312" w:cs="仿宋_GB2312"/>
          <w:color w:val="333333"/>
          <w:sz w:val="32"/>
          <w:szCs w:val="32"/>
          <w:shd w:val="clear" w:color="auto" w:fill="FFFFFF"/>
          <w:lang w:val="en-US" w:eastAsia="zh-CN"/>
        </w:rPr>
        <w:t>。</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Style w:val="9"/>
          <w:rFonts w:hint="eastAsia" w:ascii="仿宋_GB2312" w:hAnsi="仿宋_GB2312" w:eastAsia="仿宋_GB2312" w:cs="仿宋_GB2312"/>
          <w:bCs/>
          <w:color w:val="333333"/>
          <w:sz w:val="32"/>
          <w:szCs w:val="32"/>
          <w:shd w:val="clear" w:color="auto" w:fill="FFFFFF"/>
        </w:rPr>
        <w:t>一、指导思想</w:t>
      </w:r>
    </w:p>
    <w:p>
      <w:pPr>
        <w:pStyle w:val="5"/>
        <w:spacing w:beforeAutospacing="0" w:afterAutospacing="0" w:line="560" w:lineRule="exact"/>
        <w:ind w:firstLine="641"/>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lang w:eastAsia="zh-Hans"/>
        </w:rPr>
        <w:t>以习近平新时代中国特色社会主义思想为指导，全面贯彻党的教育方针，落实立德树人根本任务，紧扣交通行业转型升级和区域经济发展需求，以</w:t>
      </w:r>
      <w:r>
        <w:rPr>
          <w:rFonts w:hint="eastAsia" w:ascii="仿宋_GB2312" w:hAnsi="仿宋_GB2312" w:eastAsia="仿宋_GB2312" w:cs="仿宋_GB2312"/>
          <w:color w:val="333333"/>
          <w:sz w:val="32"/>
          <w:szCs w:val="32"/>
          <w:shd w:val="clear" w:color="auto" w:fill="FFFFFF"/>
        </w:rPr>
        <w:t>“</w:t>
      </w:r>
      <w:r>
        <w:rPr>
          <w:rFonts w:hint="eastAsia" w:ascii="仿宋_GB2312" w:hAnsi="仿宋_GB2312" w:eastAsia="仿宋_GB2312" w:cs="仿宋_GB2312"/>
          <w:color w:val="333333"/>
          <w:sz w:val="32"/>
          <w:szCs w:val="32"/>
          <w:shd w:val="clear" w:color="auto" w:fill="FFFFFF"/>
          <w:lang w:eastAsia="zh-Hans"/>
        </w:rPr>
        <w:t>师德为先、引育并举、双师为要、创新驱动</w:t>
      </w:r>
      <w:r>
        <w:rPr>
          <w:rFonts w:hint="eastAsia" w:ascii="仿宋_GB2312" w:hAnsi="仿宋_GB2312" w:eastAsia="仿宋_GB2312" w:cs="仿宋_GB2312"/>
          <w:color w:val="333333"/>
          <w:sz w:val="32"/>
          <w:szCs w:val="32"/>
          <w:shd w:val="clear" w:color="auto" w:fill="FFFFFF"/>
        </w:rPr>
        <w:t>”</w:t>
      </w:r>
      <w:r>
        <w:rPr>
          <w:rFonts w:hint="eastAsia" w:ascii="仿宋_GB2312" w:hAnsi="仿宋_GB2312" w:eastAsia="仿宋_GB2312" w:cs="仿宋_GB2312"/>
          <w:color w:val="333333"/>
          <w:sz w:val="32"/>
          <w:szCs w:val="32"/>
          <w:shd w:val="clear" w:color="auto" w:fill="FFFFFF"/>
          <w:lang w:eastAsia="zh-Hans"/>
        </w:rPr>
        <w:t>为原则，深化产教融合、校企协同，构建</w:t>
      </w:r>
      <w:r>
        <w:rPr>
          <w:rFonts w:hint="eastAsia" w:ascii="仿宋_GB2312" w:hAnsi="仿宋_GB2312" w:eastAsia="仿宋_GB2312" w:cs="仿宋_GB2312"/>
          <w:color w:val="333333"/>
          <w:sz w:val="32"/>
          <w:szCs w:val="32"/>
          <w:shd w:val="clear" w:color="auto" w:fill="FFFFFF"/>
        </w:rPr>
        <w:t>“</w:t>
      </w:r>
      <w:r>
        <w:rPr>
          <w:rFonts w:hint="eastAsia" w:ascii="仿宋_GB2312" w:hAnsi="仿宋_GB2312" w:eastAsia="仿宋_GB2312" w:cs="仿宋_GB2312"/>
          <w:color w:val="333333"/>
          <w:sz w:val="32"/>
          <w:szCs w:val="32"/>
          <w:shd w:val="clear" w:color="auto" w:fill="FFFFFF"/>
          <w:lang w:eastAsia="zh-Hans"/>
        </w:rPr>
        <w:t>规模适度、结构合理、素质优良、特色鲜明</w:t>
      </w:r>
      <w:r>
        <w:rPr>
          <w:rFonts w:hint="eastAsia" w:ascii="仿宋_GB2312" w:hAnsi="仿宋_GB2312" w:eastAsia="仿宋_GB2312" w:cs="仿宋_GB2312"/>
          <w:color w:val="333333"/>
          <w:sz w:val="32"/>
          <w:szCs w:val="32"/>
          <w:shd w:val="clear" w:color="auto" w:fill="FFFFFF"/>
        </w:rPr>
        <w:t>”</w:t>
      </w:r>
      <w:r>
        <w:rPr>
          <w:rFonts w:hint="eastAsia" w:ascii="仿宋_GB2312" w:hAnsi="仿宋_GB2312" w:eastAsia="仿宋_GB2312" w:cs="仿宋_GB2312"/>
          <w:color w:val="333333"/>
          <w:sz w:val="32"/>
          <w:szCs w:val="32"/>
          <w:shd w:val="clear" w:color="auto" w:fill="FFFFFF"/>
          <w:lang w:eastAsia="zh-Hans"/>
        </w:rPr>
        <w:t>的师资队伍体系，为建设“国内知名、西部一流、交通特色鲜明的现代高水平职业技术大学</w:t>
      </w:r>
      <w:r>
        <w:rPr>
          <w:rFonts w:hint="eastAsia" w:ascii="仿宋_GB2312" w:hAnsi="仿宋_GB2312" w:eastAsia="仿宋_GB2312" w:cs="仿宋_GB2312"/>
          <w:color w:val="333333"/>
          <w:sz w:val="32"/>
          <w:szCs w:val="32"/>
          <w:shd w:val="clear" w:color="auto" w:fill="FFFFFF"/>
        </w:rPr>
        <w:t>”</w:t>
      </w:r>
      <w:r>
        <w:rPr>
          <w:rFonts w:hint="eastAsia" w:ascii="仿宋_GB2312" w:hAnsi="仿宋_GB2312" w:eastAsia="仿宋_GB2312" w:cs="仿宋_GB2312"/>
          <w:color w:val="333333"/>
          <w:sz w:val="32"/>
          <w:szCs w:val="32"/>
          <w:shd w:val="clear" w:color="auto" w:fill="FFFFFF"/>
          <w:lang w:eastAsia="zh-Hans"/>
        </w:rPr>
        <w:t>提供支撑。</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Style w:val="9"/>
          <w:rFonts w:hint="eastAsia" w:ascii="仿宋_GB2312" w:hAnsi="仿宋_GB2312" w:eastAsia="仿宋_GB2312" w:cs="仿宋_GB2312"/>
          <w:bCs/>
          <w:color w:val="333333"/>
          <w:sz w:val="32"/>
          <w:szCs w:val="32"/>
          <w:shd w:val="clear" w:color="auto" w:fill="FFFFFF"/>
        </w:rPr>
        <w:t>二、基本原则</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（一）坚持价值引领。以社会主义核心价值观为教师崇德修身的基本遵循，促进教师带头培育和践行社会主义核心价值观。</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（二）坚持师德为上。以立德树人为出发点和立足点，增强师德建设的针对性和贴近性，将师德师风建设和常规业务工作有机结合，着力培育教师高尚道德情操。</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（三）坚持以人为本。关注教师发展诉求和价值愿望，落实教师主体地位，激发教师的责任感使命感。</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（四）坚持注重实效。进一步探索新时代背景下教师师德建设的规律特点，形成校党委、各党总支二级联动机制，增强师德建设的实际效果。</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Style w:val="9"/>
          <w:rFonts w:hint="eastAsia" w:ascii="仿宋_GB2312" w:hAnsi="仿宋_GB2312" w:eastAsia="仿宋_GB2312" w:cs="仿宋_GB2312"/>
          <w:bCs/>
          <w:color w:val="333333"/>
          <w:sz w:val="32"/>
          <w:szCs w:val="32"/>
          <w:shd w:val="clear" w:color="auto" w:fill="FFFFFF"/>
        </w:rPr>
        <w:t>三、总体目标</w:t>
      </w:r>
    </w:p>
    <w:p>
      <w:pPr>
        <w:pStyle w:val="5"/>
        <w:widowControl/>
        <w:shd w:val="clear" w:color="auto" w:fill="FFFFFF"/>
        <w:spacing w:beforeAutospacing="0" w:afterAutospacing="0" w:line="560" w:lineRule="exact"/>
        <w:ind w:firstLine="516"/>
        <w:jc w:val="both"/>
        <w:rPr>
          <w:rFonts w:hint="eastAsia" w:ascii="仿宋_GB2312" w:hAnsi="仿宋_GB2312" w:eastAsia="仿宋_GB2312" w:cs="仿宋_GB2312"/>
          <w:color w:val="333333"/>
          <w:sz w:val="32"/>
          <w:szCs w:val="32"/>
          <w:highlight w:val="yellow"/>
          <w:shd w:val="clear" w:color="auto" w:fill="FFFFFF"/>
        </w:rPr>
      </w:pPr>
      <w:r>
        <w:rPr>
          <w:rFonts w:hint="eastAsia" w:ascii="仿宋_GB2312" w:hAnsi="仿宋_GB2312" w:eastAsia="仿宋_GB2312" w:cs="仿宋_GB2312"/>
          <w:color w:val="333333"/>
          <w:sz w:val="32"/>
          <w:szCs w:val="32"/>
          <w:shd w:val="clear" w:color="auto" w:fill="FFFFFF"/>
        </w:rPr>
        <w:t>充分尊重教师主体地位，注重宣传教育、示范引领、实践养成相统一，政策保障、制度规范、法律约束相衔接，构建教育、宣传、考核、监督、激励、惩处“六位一体”的师德建设长效机制。</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Style w:val="9"/>
          <w:rFonts w:hint="eastAsia" w:ascii="仿宋_GB2312" w:hAnsi="仿宋_GB2312" w:eastAsia="仿宋_GB2312" w:cs="仿宋_GB2312"/>
          <w:bCs/>
          <w:color w:val="333333"/>
          <w:sz w:val="32"/>
          <w:szCs w:val="32"/>
          <w:shd w:val="clear" w:color="auto" w:fill="FFFFFF"/>
        </w:rPr>
        <w:t>四、主要举措</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（一）创新师德教育，引导教师树立崇高理想</w:t>
      </w:r>
    </w:p>
    <w:p>
      <w:pPr>
        <w:pStyle w:val="5"/>
        <w:widowControl/>
        <w:shd w:val="clear" w:color="auto" w:fill="FFFFFF"/>
        <w:spacing w:beforeAutospacing="0" w:afterAutospacing="0" w:line="560" w:lineRule="exact"/>
        <w:ind w:firstLine="516"/>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1.完善师德教育体系。将师德教育摆在教师培养和发展的首位，贯穿教师职业生涯全过程。根据教师不同发展阶段职业行为特征，完善人事管理、教育教学和学术规范等配套政策，强化师德教育与历史发展、社会现实、校情实际的紧密联系，将师德教育落实到教师日常管理工作中，努力构建教师岗前职后相贯通、学习实践相结合的师德教育体系，打造具有交院特色的师德教育品牌。</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2.丰富师德教育内容。组织新教师入职培训、青年教师理论学习等各类培训，将师德教育列为培训研修必修专题。举行新教师入职宣誓仪式，增强使命感和责任感。举行老教师荣休仪式，增强荣誉感和归属感。</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3.创新师德教育方式。结合教学科研、社会服务活动开展师德教育，鼓励教师参与调查研究、学习考察、挂职锻炼、社会服务等实践活动，切实增强教师的思想自觉、行动自觉。</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（二）加强师德宣传，培育重德养德良好风尚</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4.师德宣传纳入学校宣传工作统一部署。将培育良好师德作为学校校园文化建设的重点，坚持师德宣传制度化、常态化，每年至少组织一次师德主题宣传教育，系统宣讲国家相关法律法规及上级主管部门关于师德建设的文件，引导广大教师弘扬高尚师德，提高教育教学质量。</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5.明确师德宣传的核心内容。发挥各党总支、教务处（教师发展中心）、工会、团委等优势，系统宣传《高等教育法》《教师法》《甘肃省教育厅关于加强新时代教师师德师风建设的实施意见》《中共甘肃省委 甘肃省人民政府关于全面深化新时代教师队伍建设改革的实施意见》等文件，普及宣传《新时代高校教师职业行为十项准则》《甘肃交通职业技术学院加强和改进师德师风建设实施方案（试行）》《甘肃交通职业技术学院教师师德失范行为处理实施细则(试行)》《甘肃交通职业技术学院师德师风考核办法（修订）》等文件。</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6.把握师德宣传的舆论导向。注重发现典型、培育典型、宣传典型，充分利用教师节等重大节庆日，通过甘肃交通职业技术官网、广播等网络媒体和平台，以多维共振的传播矩阵，高频度、立体化宣传师德师风典型事迹，营造崇尚师德、争创师德典型的良好舆论环境和校园氛围。</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（三）健全师德考核，促进教师提高自身修养</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7.突出师德考核第一标准。将师德考核作为教师考核的重要内容，在教师职务（职称）晋升、岗位聘用、评奖评优、招聘录用、人才引进、教师年度考核等环节实行师德考核“一票否决”，将师德师风要求纳入聘用合同。</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8.完善师德考核制度。尊重教师主体地位，坚持客观公正、公平公开原则，建立完善以个人自评、学生测评、同行互评、单位考评为基础，定性考核与定量考核相结合的师德师风综合评价体系。</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（四）强化师德监督，有效防止师德失范行为</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highlight w:val="yellow"/>
        </w:rPr>
      </w:pPr>
      <w:r>
        <w:rPr>
          <w:rFonts w:hint="eastAsia" w:ascii="仿宋_GB2312" w:hAnsi="仿宋_GB2312" w:eastAsia="仿宋_GB2312" w:cs="仿宋_GB2312"/>
          <w:color w:val="333333"/>
          <w:sz w:val="32"/>
          <w:szCs w:val="32"/>
          <w:shd w:val="clear" w:color="auto" w:fill="FFFFFF"/>
        </w:rPr>
        <w:t>9.构建全方位师德监督机制。充分发挥学校各职能部门和学生、家长等在教师作风建设、学术规范、教书育人等方面的监督作用，构建学校、教师、学生和社会多方参与的师德监督体系，健全完善学生评分、领导听课、教学督导“三位一体”的评教机制，全方位加强师德监督。</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10.开展师德专项监督。将师德建设纳入学校巡察内容，每年组织专项工作组对各单位师德建设情况进行检查督查，检查结果作为各单位、领导干部年度考核和党组织书记抓基层党建述职评议考核的重要内容。</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11.畅通师德监督渠道。在党委教师工作部（人事处）网站建立师德投诉举报邮箱。及时掌握师德信息动态，及时纠正不良倾向和问题，对出现违反学术诚信、社会公德等方面反馈的问题，做到有诉必查，有查必果，有果必复。健全师德重大问题报告制度，定期开展师德状况调查，及时研究加强和改进师德建设政策措施。</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12.建立教师师德师风个人档案。由各党总支负责建立，系统化规范教师职业行为、强化师德师风建设的过程管理与责任落实</w:t>
      </w:r>
      <w:r>
        <w:rPr>
          <w:rFonts w:ascii="仿宋_GB2312" w:hAnsi="仿宋_GB2312" w:eastAsia="仿宋_GB2312" w:cs="仿宋_GB2312"/>
          <w:color w:val="333333"/>
          <w:sz w:val="32"/>
          <w:szCs w:val="32"/>
          <w:shd w:val="clear" w:color="auto" w:fill="FFFFFF"/>
        </w:rPr>
        <w:t>，最终为高等职业教育的人才培养质量筑牢师德根基</w:t>
      </w:r>
      <w:r>
        <w:rPr>
          <w:rFonts w:hint="eastAsia" w:ascii="仿宋_GB2312" w:hAnsi="仿宋_GB2312" w:eastAsia="仿宋_GB2312" w:cs="仿宋_GB2312"/>
          <w:color w:val="333333"/>
          <w:sz w:val="32"/>
          <w:szCs w:val="32"/>
          <w:shd w:val="clear" w:color="auto" w:fill="FFFFFF"/>
        </w:rPr>
        <w:t>。</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（五）注重师德激励，引导教师提升精神境界</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13.健全教职工荣誉体系。开展“教学名师”等先进典型评选，充分利用网站、广播等形式，大力宣传优秀教职工典型事迹，充分展现交院人的精神风貌。</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14.完善师德奖励制度。同等条件下，师德表现突出的，在教师职务（职称）晋升、岗位聘用、干部选任、学科（学术）带头人等各类高层次人才工程选培等环节中优先考虑。</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15.切实抓好条件保障。把师德建设与解决实际问题相结合，关心教师在培训、进修、访学和攻读学位等各个方面的切身利益，关心青年教师的成长与发展，引导青年教师科学合理地开展职业规划，严格对教师行为的约束和提醒，建立教师行为不端的预警机制，及时将考核中发现的问题向教师进行反馈，并采取针对性举措帮助教师提高认识、加强整改。努力为教师创造更好的学习、生活和工作环境，真正推动师德建设健康发展。</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（六）严格师德惩处，发挥制度规范约束作用</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16.健全师德失范行为惩处机制。贯彻落实《甘肃交通职业技术学院教师师德失范行为处理实施细则(试行)》，推行师德考核负面清单制度，严格举报受理和违规查处。有效研判和快速应对师德舆情，执行好首问负责制，增强调查处理工作的规范性、针对性、时效性和可操作性，积极有效回应教职工的诉求和期盼。对于发生师德失范行为的，采取“零容忍”态度，发现一起，查处一起，依法依规严肃惩处，绝不姑息。</w:t>
      </w:r>
    </w:p>
    <w:p>
      <w:pPr>
        <w:pStyle w:val="5"/>
        <w:widowControl/>
        <w:shd w:val="clear" w:color="auto" w:fill="FFFFFF"/>
        <w:spacing w:beforeAutospacing="0" w:afterAutospacing="0" w:line="560" w:lineRule="exact"/>
        <w:ind w:firstLine="516"/>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17.建立师德失范问责机制。实行“一岗双责”责任追究机制，对师德违规行为监管不力、拒不处分、拖延处分或推诿隐瞒等失职失责问题，造成不良影响或严重后果的，将严肃追究相关单位负责人的责任。所在单位党政主要负责人须向学校作出检讨，由学校依据有关规定视情节轻重进行问责。受到问责的单位和所在党组织当年考核结果不得为优秀，受到问责的党政领导干部和直接责任人当年考核结果不得为优秀。</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Style w:val="9"/>
          <w:rFonts w:hint="eastAsia" w:ascii="仿宋_GB2312" w:hAnsi="仿宋_GB2312" w:eastAsia="仿宋_GB2312" w:cs="仿宋_GB2312"/>
          <w:bCs/>
          <w:color w:val="333333"/>
          <w:sz w:val="32"/>
          <w:szCs w:val="32"/>
          <w:shd w:val="clear" w:color="auto" w:fill="FFFFFF"/>
        </w:rPr>
        <w:t>五、实施保障</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（一）健全师德建设领导体制</w:t>
      </w:r>
    </w:p>
    <w:p>
      <w:pPr>
        <w:pStyle w:val="5"/>
        <w:widowControl/>
        <w:shd w:val="clear" w:color="auto" w:fill="FFFFFF"/>
        <w:spacing w:beforeAutospacing="0" w:afterAutospacing="0"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建立和完善党委统一领导、党政齐抓共管、各党总支具体落实、教师自我约束的领导体制和工作机制。党委教师工作部（人事处）、教务处（教师发展中心）、党委宣传统战部（新时代文明实践中心）、各党总支等，全面负责学校师德师风建设工作，组织领导开展师德师风教育、宣传、考核、监督以及对教师师德失范行为的处理工作。委员会下设办公室，办公室设在党委教师工作部，负责师德师风建设委员会日常工作以及师德失范行为举报、投诉、受理、调查、认定等工作。</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（二）完善教师权益保障机制</w:t>
      </w:r>
    </w:p>
    <w:p>
      <w:pPr>
        <w:pStyle w:val="5"/>
        <w:widowControl/>
        <w:shd w:val="clear" w:color="auto" w:fill="FFFFFF"/>
        <w:spacing w:beforeAutospacing="0" w:afterAutospacing="0" w:line="560" w:lineRule="exact"/>
        <w:ind w:firstLine="640" w:firstLineChars="200"/>
        <w:jc w:val="both"/>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牢固树立“人才为要”办学理念，建立校领导与教师互动交流、共谋发展的长效机制。大力弘扬“尊师重教”风尚，完善教师参与治校治学机制，在干部选拔任用、职务评聘、学术评价和各种评优选拔活动中，充分保障教师的知情权、参与权、表达权和监督权。依法建立教师权益保护机制，保护教师正当的申辩、申诉权利，维护教师合法权益。</w:t>
      </w:r>
    </w:p>
    <w:p>
      <w:pPr>
        <w:pStyle w:val="5"/>
        <w:widowControl/>
        <w:shd w:val="clear" w:color="auto" w:fill="FFFFFF"/>
        <w:spacing w:beforeAutospacing="0" w:afterAutospacing="0" w:line="560" w:lineRule="exact"/>
        <w:ind w:firstLine="516"/>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（三）强化责任落实机制</w:t>
      </w:r>
    </w:p>
    <w:p>
      <w:pPr>
        <w:pStyle w:val="5"/>
        <w:widowControl/>
        <w:shd w:val="clear" w:color="auto" w:fill="FFFFFF"/>
        <w:spacing w:beforeAutospacing="0" w:afterAutospacing="0" w:line="560" w:lineRule="exact"/>
        <w:ind w:firstLine="640" w:firstLineChars="200"/>
        <w:rPr>
          <w:rFonts w:hint="eastAsia"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各党总支是师德建设的主体，将师德建设成效列入各二级单位年度目标责任制考核。各党总支要将师德建设摆在教师队伍建设的首位，将师德建设纳入单位工作的整体布局，具体落实师德教育、宣传、考核、监督、激励、惩处等方面的责任。各党总支要把师德建设作为基层党建工作的重要内容、评价基层党建工作成效的重要方面。各党总支要根据本单位实际，提出有针对性的师德建设目标和任务，坚持全员参与、全面动员、全方位推进，从内容、形式、方法、手段、机制等方面探索师德建设的长效机制，不断提升师德建设的科学化水平。</w:t>
      </w:r>
    </w:p>
    <w:p>
      <w:pPr>
        <w:pStyle w:val="5"/>
        <w:widowControl/>
        <w:shd w:val="clear" w:color="auto" w:fill="FFFFFF"/>
        <w:spacing w:beforeAutospacing="0" w:afterAutospacing="0" w:line="560" w:lineRule="exact"/>
        <w:ind w:firstLine="640" w:firstLineChars="200"/>
        <w:rPr>
          <w:rFonts w:hint="eastAsia" w:ascii="仿宋_GB2312" w:hAnsi="仿宋_GB2312" w:eastAsia="仿宋_GB2312" w:cs="仿宋_GB2312"/>
          <w:color w:val="333333"/>
          <w:sz w:val="32"/>
          <w:szCs w:val="32"/>
          <w:shd w:val="clear" w:color="auto" w:fill="FFFFFF"/>
        </w:rPr>
      </w:pPr>
    </w:p>
    <w:p>
      <w:pPr>
        <w:pStyle w:val="5"/>
        <w:widowControl/>
        <w:shd w:val="clear" w:color="auto" w:fill="FFFFFF"/>
        <w:spacing w:beforeAutospacing="0" w:afterAutospacing="0" w:line="560" w:lineRule="exact"/>
        <w:ind w:firstLine="640" w:firstLineChars="200"/>
        <w:rPr>
          <w:rFonts w:hint="eastAsia" w:ascii="仿宋_GB2312" w:hAnsi="仿宋_GB2312" w:eastAsia="仿宋_GB2312" w:cs="仿宋_GB2312"/>
          <w:color w:val="333333"/>
          <w:sz w:val="32"/>
          <w:szCs w:val="32"/>
          <w:shd w:val="clear" w:color="auto" w:fill="FFFFFF"/>
          <w:lang w:bidi="ar"/>
        </w:rPr>
        <w:sectPr>
          <w:pgSz w:w="11906" w:h="16838"/>
          <w:pgMar w:top="1440" w:right="1800" w:bottom="1440" w:left="1800" w:header="851" w:footer="992" w:gutter="0"/>
          <w:cols w:space="425" w:num="1"/>
          <w:docGrid w:type="lines" w:linePitch="312" w:charSpace="0"/>
        </w:sectPr>
      </w:pPr>
      <w:r>
        <w:rPr>
          <w:rFonts w:hint="eastAsia" w:ascii="仿宋_GB2312" w:hAnsi="仿宋_GB2312" w:eastAsia="仿宋_GB2312" w:cs="仿宋_GB2312"/>
          <w:color w:val="333333"/>
          <w:sz w:val="32"/>
          <w:szCs w:val="32"/>
          <w:shd w:val="clear" w:color="auto" w:fill="FFFFFF"/>
        </w:rPr>
        <w:t>附件：</w:t>
      </w:r>
      <w:r>
        <w:rPr>
          <w:rFonts w:hint="eastAsia" w:ascii="仿宋_GB2312" w:hAnsi="仿宋_GB2312" w:eastAsia="仿宋_GB2312" w:cs="仿宋_GB2312"/>
          <w:color w:val="333333"/>
          <w:sz w:val="32"/>
          <w:szCs w:val="32"/>
          <w:shd w:val="clear" w:color="auto" w:fill="FFFFFF"/>
          <w:lang w:bidi="ar"/>
        </w:rPr>
        <w:t>师德师风建设长效机制任务分解表</w:t>
      </w:r>
    </w:p>
    <w:p>
      <w:pPr>
        <w:pStyle w:val="5"/>
        <w:widowControl/>
        <w:shd w:val="clear" w:color="auto" w:fill="FFFFFF"/>
        <w:spacing w:beforeAutospacing="0" w:afterAutospacing="0" w:line="560" w:lineRule="exact"/>
        <w:jc w:val="center"/>
        <w:rPr>
          <w:rFonts w:hint="eastAsia" w:ascii="方正小标宋简体" w:hAnsi="方正小标宋简体" w:eastAsia="方正小标宋简体" w:cs="方正小标宋简体"/>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师德师风建设长效机制任务分解表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9"/>
        <w:gridCol w:w="2756"/>
        <w:gridCol w:w="2721"/>
        <w:gridCol w:w="2324"/>
        <w:gridCol w:w="1894"/>
        <w:gridCol w:w="25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Align w:val="center"/>
          </w:tcPr>
          <w:p>
            <w:pPr>
              <w:jc w:val="center"/>
            </w:pPr>
            <w:r>
              <w:rPr>
                <w:rFonts w:hint="eastAsia"/>
              </w:rPr>
              <w:t>专题</w:t>
            </w:r>
          </w:p>
        </w:tc>
        <w:tc>
          <w:tcPr>
            <w:tcW w:w="2756" w:type="dxa"/>
            <w:vAlign w:val="center"/>
          </w:tcPr>
          <w:p>
            <w:pPr>
              <w:jc w:val="center"/>
            </w:pPr>
            <w:r>
              <w:rPr>
                <w:rFonts w:hint="eastAsia"/>
              </w:rPr>
              <w:t>活动名称</w:t>
            </w:r>
          </w:p>
        </w:tc>
        <w:tc>
          <w:tcPr>
            <w:tcW w:w="2721" w:type="dxa"/>
            <w:vAlign w:val="center"/>
          </w:tcPr>
          <w:p>
            <w:pPr>
              <w:jc w:val="center"/>
            </w:pPr>
            <w:r>
              <w:rPr>
                <w:rFonts w:hint="eastAsia"/>
              </w:rPr>
              <w:t>主要内容与形式</w:t>
            </w:r>
          </w:p>
        </w:tc>
        <w:tc>
          <w:tcPr>
            <w:tcW w:w="2324" w:type="dxa"/>
            <w:vAlign w:val="center"/>
          </w:tcPr>
          <w:p>
            <w:pPr>
              <w:jc w:val="center"/>
            </w:pPr>
            <w:r>
              <w:rPr>
                <w:rFonts w:hint="eastAsia"/>
              </w:rPr>
              <w:t>预期效果</w:t>
            </w:r>
          </w:p>
        </w:tc>
        <w:tc>
          <w:tcPr>
            <w:tcW w:w="1894" w:type="dxa"/>
            <w:vAlign w:val="center"/>
          </w:tcPr>
          <w:p>
            <w:pPr>
              <w:jc w:val="center"/>
            </w:pPr>
            <w:r>
              <w:rPr>
                <w:rFonts w:hint="eastAsia"/>
              </w:rPr>
              <w:t>开展时间</w:t>
            </w:r>
          </w:p>
        </w:tc>
        <w:tc>
          <w:tcPr>
            <w:tcW w:w="2596" w:type="dxa"/>
            <w:vAlign w:val="center"/>
          </w:tcPr>
          <w:p>
            <w:pPr>
              <w:jc w:val="center"/>
            </w:pPr>
            <w:r>
              <w:rPr>
                <w:rFonts w:hint="eastAsia"/>
              </w:rPr>
              <w:t>牵头部门/协同部门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restart"/>
            <w:vAlign w:val="center"/>
          </w:tcPr>
          <w:p>
            <w:pPr>
              <w:jc w:val="center"/>
            </w:pPr>
            <w:r>
              <w:rPr>
                <w:rFonts w:hint="eastAsia"/>
              </w:rPr>
              <w:t>学习·明理——筑牢思想根基</w:t>
            </w:r>
          </w:p>
        </w:tc>
        <w:tc>
          <w:tcPr>
            <w:tcW w:w="2756" w:type="dxa"/>
            <w:vAlign w:val="center"/>
          </w:tcPr>
          <w:p>
            <w:pPr>
              <w:jc w:val="center"/>
            </w:pPr>
            <w:r>
              <w:rPr>
                <w:rFonts w:hint="eastAsia"/>
              </w:rPr>
              <w:t>“准则记心中”专题学习会</w:t>
            </w:r>
          </w:p>
        </w:tc>
        <w:tc>
          <w:tcPr>
            <w:tcW w:w="2721" w:type="dxa"/>
            <w:vAlign w:val="center"/>
          </w:tcPr>
          <w:p>
            <w:pPr>
              <w:ind w:firstLine="420" w:firstLineChars="200"/>
            </w:pPr>
            <w:r>
              <w:rPr>
                <w:rFonts w:hint="eastAsia"/>
              </w:rPr>
              <w:t>组织学习《新时代高校教师职业行为十项准则》、《职业教育法》等文件，并进行分组讨论。</w:t>
            </w:r>
          </w:p>
        </w:tc>
        <w:tc>
          <w:tcPr>
            <w:tcW w:w="2324" w:type="dxa"/>
            <w:vAlign w:val="center"/>
          </w:tcPr>
          <w:p>
            <w:pPr>
              <w:jc w:val="center"/>
            </w:pPr>
            <w:r>
              <w:rPr>
                <w:rFonts w:hint="eastAsia"/>
              </w:rPr>
              <w:t>确保每位教师熟知准则内容，明确行为规范。</w:t>
            </w:r>
          </w:p>
        </w:tc>
        <w:tc>
          <w:tcPr>
            <w:tcW w:w="1894" w:type="dxa"/>
            <w:vAlign w:val="center"/>
          </w:tcPr>
          <w:p>
            <w:pPr>
              <w:jc w:val="center"/>
            </w:pPr>
            <w:r>
              <w:rPr>
                <w:rFonts w:hint="eastAsia" w:ascii="Times New Roman" w:hAnsi="Times New Roman" w:cs="Times New Roman"/>
              </w:rPr>
              <w:t>2</w:t>
            </w:r>
            <w:r>
              <w:rPr>
                <w:rFonts w:ascii="Times New Roman" w:hAnsi="Times New Roman" w:cs="Times New Roman"/>
              </w:rPr>
              <w:t>月</w:t>
            </w:r>
            <w:r>
              <w:rPr>
                <w:rFonts w:hint="eastAsia" w:ascii="Times New Roman" w:hAnsi="Times New Roman" w:cs="Times New Roman"/>
              </w:rPr>
              <w:t>至3</w:t>
            </w:r>
            <w:r>
              <w:rPr>
                <w:rFonts w:ascii="Times New Roman" w:hAnsi="Times New Roman" w:cs="Times New Roman"/>
              </w:rPr>
              <w:t>月</w:t>
            </w:r>
          </w:p>
        </w:tc>
        <w:tc>
          <w:tcPr>
            <w:tcW w:w="2596" w:type="dxa"/>
            <w:vAlign w:val="center"/>
          </w:tcPr>
          <w:p>
            <w:pPr>
              <w:jc w:val="center"/>
            </w:pPr>
            <w:r>
              <w:rPr>
                <w:rFonts w:hint="eastAsia"/>
              </w:rPr>
              <w:t>各党总支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pPr>
              <w:jc w:val="center"/>
            </w:pPr>
          </w:p>
        </w:tc>
        <w:tc>
          <w:tcPr>
            <w:tcW w:w="2756" w:type="dxa"/>
            <w:vAlign w:val="center"/>
          </w:tcPr>
          <w:p>
            <w:pPr>
              <w:jc w:val="center"/>
            </w:pPr>
            <w:r>
              <w:rPr>
                <w:rFonts w:hint="eastAsia"/>
              </w:rPr>
              <w:t>师德师风主题党课/报告</w:t>
            </w:r>
          </w:p>
        </w:tc>
        <w:tc>
          <w:tcPr>
            <w:tcW w:w="2721" w:type="dxa"/>
            <w:vAlign w:val="center"/>
          </w:tcPr>
          <w:p>
            <w:pPr>
              <w:ind w:firstLine="420" w:firstLineChars="200"/>
            </w:pPr>
            <w:r>
              <w:rPr>
                <w:rFonts w:hint="eastAsia"/>
              </w:rPr>
              <w:t>党总支书记或专家作专题报告，阐释师德师风建设的时代意义与政治要求。</w:t>
            </w:r>
          </w:p>
        </w:tc>
        <w:tc>
          <w:tcPr>
            <w:tcW w:w="2324" w:type="dxa"/>
            <w:vAlign w:val="center"/>
          </w:tcPr>
          <w:p>
            <w:pPr>
              <w:jc w:val="center"/>
            </w:pPr>
            <w:r>
              <w:rPr>
                <w:rFonts w:hint="eastAsia"/>
              </w:rPr>
              <w:t>提升教师的政治站位和思想觉悟。</w:t>
            </w:r>
          </w:p>
        </w:tc>
        <w:tc>
          <w:tcPr>
            <w:tcW w:w="1894" w:type="dxa"/>
            <w:vAlign w:val="center"/>
          </w:tcPr>
          <w:p>
            <w:pPr>
              <w:jc w:val="center"/>
            </w:pPr>
            <w:r>
              <w:rPr>
                <w:rFonts w:hint="eastAsia" w:ascii="Times New Roman" w:hAnsi="Times New Roman" w:cs="Times New Roman"/>
              </w:rPr>
              <w:t>3</w:t>
            </w:r>
            <w:r>
              <w:rPr>
                <w:rFonts w:ascii="Times New Roman" w:hAnsi="Times New Roman" w:cs="Times New Roman"/>
              </w:rPr>
              <w:t>月</w:t>
            </w:r>
            <w:r>
              <w:rPr>
                <w:rFonts w:hint="eastAsia" w:ascii="Times New Roman" w:hAnsi="Times New Roman" w:cs="Times New Roman"/>
              </w:rPr>
              <w:t>至4</w:t>
            </w:r>
            <w:r>
              <w:rPr>
                <w:rFonts w:ascii="Times New Roman" w:hAnsi="Times New Roman" w:cs="Times New Roman"/>
              </w:rPr>
              <w:t>月</w:t>
            </w:r>
          </w:p>
        </w:tc>
        <w:tc>
          <w:tcPr>
            <w:tcW w:w="2596" w:type="dxa"/>
            <w:vAlign w:val="center"/>
          </w:tcPr>
          <w:p>
            <w:pPr>
              <w:jc w:val="center"/>
            </w:pPr>
            <w:r>
              <w:rPr>
                <w:rFonts w:hint="eastAsia"/>
              </w:rPr>
              <w:t>各党总支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pPr>
              <w:jc w:val="center"/>
            </w:pPr>
          </w:p>
        </w:tc>
        <w:tc>
          <w:tcPr>
            <w:tcW w:w="2756" w:type="dxa"/>
            <w:vAlign w:val="center"/>
          </w:tcPr>
          <w:p>
            <w:pPr>
              <w:jc w:val="center"/>
            </w:pPr>
            <w:r>
              <w:rPr>
                <w:rFonts w:hint="eastAsia"/>
              </w:rPr>
              <w:t>师德承诺签名活动</w:t>
            </w:r>
          </w:p>
        </w:tc>
        <w:tc>
          <w:tcPr>
            <w:tcW w:w="2721" w:type="dxa"/>
            <w:vAlign w:val="center"/>
          </w:tcPr>
          <w:p>
            <w:pPr>
              <w:ind w:firstLine="420" w:firstLineChars="200"/>
            </w:pPr>
            <w:r>
              <w:rPr>
                <w:rFonts w:hint="eastAsia"/>
              </w:rPr>
              <w:t>组织全体新入职教师签订《师德师风承诺书》。</w:t>
            </w:r>
          </w:p>
        </w:tc>
        <w:tc>
          <w:tcPr>
            <w:tcW w:w="2324" w:type="dxa"/>
            <w:vAlign w:val="center"/>
          </w:tcPr>
          <w:p>
            <w:pPr>
              <w:jc w:val="center"/>
            </w:pPr>
            <w:r>
              <w:rPr>
                <w:rFonts w:hint="eastAsia"/>
              </w:rPr>
              <w:t>增强教师的仪式感、责任感和约束力。</w:t>
            </w:r>
          </w:p>
        </w:tc>
        <w:tc>
          <w:tcPr>
            <w:tcW w:w="1894" w:type="dxa"/>
            <w:vAlign w:val="center"/>
          </w:tcPr>
          <w:p>
            <w:pPr>
              <w:jc w:val="center"/>
            </w:pPr>
            <w:r>
              <w:rPr>
                <w:rFonts w:hint="eastAsia" w:ascii="Times New Roman" w:hAnsi="Times New Roman" w:cs="Times New Roman"/>
              </w:rPr>
              <w:t>9</w:t>
            </w:r>
            <w:r>
              <w:rPr>
                <w:rFonts w:ascii="Times New Roman" w:hAnsi="Times New Roman" w:cs="Times New Roman"/>
              </w:rPr>
              <w:t>月</w:t>
            </w:r>
          </w:p>
        </w:tc>
        <w:tc>
          <w:tcPr>
            <w:tcW w:w="2596" w:type="dxa"/>
            <w:vAlign w:val="center"/>
          </w:tcPr>
          <w:p>
            <w:pPr>
              <w:jc w:val="center"/>
            </w:pPr>
            <w:r>
              <w:rPr>
                <w:rFonts w:hint="eastAsia"/>
              </w:rPr>
              <w:t>各党总支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restart"/>
            <w:vAlign w:val="center"/>
          </w:tcPr>
          <w:p>
            <w:pPr>
              <w:jc w:val="center"/>
            </w:pPr>
            <w:r>
              <w:rPr>
                <w:rFonts w:hint="eastAsia"/>
              </w:rPr>
              <w:t>警示·自省——守住纪律底线</w:t>
            </w:r>
          </w:p>
        </w:tc>
        <w:tc>
          <w:tcPr>
            <w:tcW w:w="2756" w:type="dxa"/>
            <w:vAlign w:val="center"/>
          </w:tcPr>
          <w:p>
            <w:pPr>
              <w:jc w:val="center"/>
            </w:pPr>
            <w:r>
              <w:rPr>
                <w:rFonts w:hint="eastAsia"/>
              </w:rPr>
              <w:t>师德失范案例警示教育大会</w:t>
            </w:r>
          </w:p>
        </w:tc>
        <w:tc>
          <w:tcPr>
            <w:tcW w:w="2721" w:type="dxa"/>
            <w:vAlign w:val="center"/>
          </w:tcPr>
          <w:p>
            <w:pPr>
              <w:ind w:firstLine="420" w:firstLineChars="200"/>
            </w:pPr>
            <w:r>
              <w:rPr>
                <w:rFonts w:hint="eastAsia"/>
              </w:rPr>
              <w:t>通报违反师德师风典型案例（特别是职教领域案例），组织观看警示教育片。</w:t>
            </w:r>
          </w:p>
        </w:tc>
        <w:tc>
          <w:tcPr>
            <w:tcW w:w="2324" w:type="dxa"/>
            <w:vAlign w:val="center"/>
          </w:tcPr>
          <w:p>
            <w:pPr>
              <w:jc w:val="center"/>
            </w:pPr>
            <w:r>
              <w:rPr>
                <w:rFonts w:hint="eastAsia"/>
              </w:rPr>
              <w:t>以案为鉴，引导教师知敬畏、存戒惧、守底线。</w:t>
            </w:r>
          </w:p>
        </w:tc>
        <w:tc>
          <w:tcPr>
            <w:tcW w:w="1894" w:type="dxa"/>
            <w:vAlign w:val="center"/>
          </w:tcPr>
          <w:p>
            <w:pPr>
              <w:jc w:val="center"/>
            </w:pPr>
            <w:r>
              <w:rPr>
                <w:rFonts w:hint="eastAsia" w:ascii="Times New Roman" w:hAnsi="Times New Roman" w:cs="Times New Roman"/>
              </w:rPr>
              <w:t>3</w:t>
            </w:r>
            <w:r>
              <w:rPr>
                <w:rFonts w:ascii="Times New Roman" w:hAnsi="Times New Roman" w:cs="Times New Roman"/>
              </w:rPr>
              <w:t>月</w:t>
            </w:r>
            <w:r>
              <w:rPr>
                <w:rFonts w:hint="eastAsia" w:ascii="Times New Roman" w:hAnsi="Times New Roman" w:cs="Times New Roman"/>
              </w:rPr>
              <w:t>、9</w:t>
            </w:r>
            <w:r>
              <w:rPr>
                <w:rFonts w:ascii="Times New Roman" w:hAnsi="Times New Roman" w:cs="Times New Roman"/>
              </w:rPr>
              <w:t>月</w:t>
            </w:r>
          </w:p>
        </w:tc>
        <w:tc>
          <w:tcPr>
            <w:tcW w:w="2596" w:type="dxa"/>
            <w:vAlign w:val="center"/>
          </w:tcPr>
          <w:p>
            <w:pPr>
              <w:jc w:val="center"/>
            </w:pPr>
            <w:r>
              <w:rPr>
                <w:rFonts w:hint="eastAsia"/>
              </w:rPr>
              <w:t>纪委监察专员办公室纪检监察室/各党总支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pPr>
              <w:jc w:val="center"/>
            </w:pPr>
          </w:p>
        </w:tc>
        <w:tc>
          <w:tcPr>
            <w:tcW w:w="2756" w:type="dxa"/>
            <w:vAlign w:val="center"/>
          </w:tcPr>
          <w:p>
            <w:pPr>
              <w:jc w:val="center"/>
            </w:pPr>
            <w:r>
              <w:rPr>
                <w:rFonts w:hint="eastAsia"/>
              </w:rPr>
              <w:t>“红线与底线”大讨论</w:t>
            </w:r>
          </w:p>
        </w:tc>
        <w:tc>
          <w:tcPr>
            <w:tcW w:w="2721" w:type="dxa"/>
            <w:vAlign w:val="center"/>
          </w:tcPr>
          <w:p>
            <w:pPr>
              <w:ind w:firstLine="420" w:firstLineChars="200"/>
            </w:pPr>
            <w:r>
              <w:rPr>
                <w:rFonts w:hint="eastAsia"/>
              </w:rPr>
              <w:t>围绕“课堂教学言行边界”、“师生关系如何把握”、“科研诚信”、“校企合作中的廉洁风险”等议题开展讨论。</w:t>
            </w:r>
          </w:p>
        </w:tc>
        <w:tc>
          <w:tcPr>
            <w:tcW w:w="2324" w:type="dxa"/>
            <w:vAlign w:val="center"/>
          </w:tcPr>
          <w:p>
            <w:pPr>
              <w:jc w:val="center"/>
            </w:pPr>
            <w:r>
              <w:rPr>
                <w:rFonts w:hint="eastAsia"/>
              </w:rPr>
              <w:t>帮助教师辨识日常工作中的风险点，强化自我警示。</w:t>
            </w:r>
          </w:p>
        </w:tc>
        <w:tc>
          <w:tcPr>
            <w:tcW w:w="1894" w:type="dxa"/>
            <w:vAlign w:val="center"/>
          </w:tcPr>
          <w:p>
            <w:pPr>
              <w:jc w:val="center"/>
            </w:pPr>
            <w:r>
              <w:rPr>
                <w:rFonts w:hint="eastAsia" w:ascii="Times New Roman" w:hAnsi="Times New Roman" w:cs="Times New Roman"/>
              </w:rPr>
              <w:t>3</w:t>
            </w:r>
            <w:r>
              <w:rPr>
                <w:rFonts w:ascii="Times New Roman" w:hAnsi="Times New Roman" w:cs="Times New Roman"/>
              </w:rPr>
              <w:t>月</w:t>
            </w:r>
            <w:r>
              <w:rPr>
                <w:rFonts w:hint="eastAsia" w:ascii="Times New Roman" w:hAnsi="Times New Roman" w:cs="Times New Roman"/>
              </w:rPr>
              <w:t>、9</w:t>
            </w:r>
            <w:r>
              <w:rPr>
                <w:rFonts w:ascii="Times New Roman" w:hAnsi="Times New Roman" w:cs="Times New Roman"/>
              </w:rPr>
              <w:t>月</w:t>
            </w:r>
          </w:p>
        </w:tc>
        <w:tc>
          <w:tcPr>
            <w:tcW w:w="2596" w:type="dxa"/>
            <w:vAlign w:val="center"/>
          </w:tcPr>
          <w:p>
            <w:pPr>
              <w:jc w:val="center"/>
            </w:pPr>
            <w:r>
              <w:rPr>
                <w:rFonts w:hint="eastAsia"/>
              </w:rPr>
              <w:t>教务处（教师发展中心）/科学技术处、校企合作部、各党总支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pPr>
              <w:jc w:val="center"/>
            </w:pPr>
          </w:p>
        </w:tc>
        <w:tc>
          <w:tcPr>
            <w:tcW w:w="2756" w:type="dxa"/>
            <w:vAlign w:val="center"/>
          </w:tcPr>
          <w:p>
            <w:pPr>
              <w:jc w:val="center"/>
            </w:pPr>
            <w:r>
              <w:rPr>
                <w:rFonts w:hint="eastAsia"/>
              </w:rPr>
              <w:t>师德风险自查自纠、考核</w:t>
            </w:r>
          </w:p>
        </w:tc>
        <w:tc>
          <w:tcPr>
            <w:tcW w:w="2721" w:type="dxa"/>
            <w:vAlign w:val="center"/>
          </w:tcPr>
          <w:p>
            <w:pPr>
              <w:ind w:firstLine="420" w:firstLineChars="200"/>
            </w:pPr>
            <w:r>
              <w:rPr>
                <w:rFonts w:hint="eastAsia"/>
              </w:rPr>
              <w:t>教师对照自纠自查表，查找自身在思想、工作、作风等方面存在的问题，按照《甘肃交通职业技术学院师德师风考核办法（修订）》进行年度考核，并建立“师德师风个人档案”，包括教师师德师风承诺书、考核登记表、自纠自查表、考核测评表、师德师风奖惩记录等。</w:t>
            </w:r>
          </w:p>
        </w:tc>
        <w:tc>
          <w:tcPr>
            <w:tcW w:w="2324" w:type="dxa"/>
            <w:vAlign w:val="center"/>
          </w:tcPr>
          <w:p>
            <w:pPr>
              <w:jc w:val="center"/>
            </w:pPr>
            <w:r>
              <w:rPr>
                <w:rFonts w:hint="eastAsia"/>
              </w:rPr>
              <w:t>实现自我剖析、自我改进。</w:t>
            </w:r>
          </w:p>
        </w:tc>
        <w:tc>
          <w:tcPr>
            <w:tcW w:w="1894" w:type="dxa"/>
            <w:vAlign w:val="center"/>
          </w:tcPr>
          <w:p>
            <w:pPr>
              <w:jc w:val="center"/>
            </w:pPr>
            <w:r>
              <w:rPr>
                <w:rFonts w:hint="eastAsia" w:ascii="Times New Roman" w:hAnsi="Times New Roman" w:cs="Times New Roman"/>
              </w:rPr>
              <w:t>12</w:t>
            </w:r>
            <w:r>
              <w:rPr>
                <w:rFonts w:ascii="Times New Roman" w:hAnsi="Times New Roman" w:cs="Times New Roman"/>
              </w:rPr>
              <w:t>月</w:t>
            </w:r>
          </w:p>
        </w:tc>
        <w:tc>
          <w:tcPr>
            <w:tcW w:w="2596" w:type="dxa"/>
            <w:vAlign w:val="center"/>
          </w:tcPr>
          <w:p>
            <w:pPr>
              <w:jc w:val="center"/>
            </w:pPr>
            <w:r>
              <w:rPr>
                <w:rFonts w:hint="eastAsia"/>
              </w:rPr>
              <w:t>党委教师工作部（人事处）/各党总支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8" w:hRule="atLeast"/>
          <w:jc w:val="center"/>
        </w:trPr>
        <w:tc>
          <w:tcPr>
            <w:tcW w:w="1609" w:type="dxa"/>
            <w:vMerge w:val="restart"/>
            <w:vAlign w:val="center"/>
          </w:tcPr>
          <w:p>
            <w:pPr>
              <w:jc w:val="center"/>
            </w:pPr>
            <w:r>
              <w:rPr>
                <w:rFonts w:hint="eastAsia"/>
              </w:rPr>
              <w:t>示范·引领——激发前行力量</w:t>
            </w:r>
          </w:p>
        </w:tc>
        <w:tc>
          <w:tcPr>
            <w:tcW w:w="2756" w:type="dxa"/>
            <w:vMerge w:val="restart"/>
            <w:vAlign w:val="center"/>
          </w:tcPr>
          <w:p>
            <w:pPr>
              <w:jc w:val="center"/>
            </w:pPr>
            <w:r>
              <w:rPr>
                <w:rFonts w:hint="eastAsia"/>
              </w:rPr>
              <w:t>“我身边的好老师”事迹报告会</w:t>
            </w:r>
          </w:p>
        </w:tc>
        <w:tc>
          <w:tcPr>
            <w:tcW w:w="2721" w:type="dxa"/>
            <w:vAlign w:val="center"/>
          </w:tcPr>
          <w:p>
            <w:pPr>
              <w:ind w:firstLine="420" w:firstLineChars="200"/>
            </w:pPr>
            <w:r>
              <w:rPr>
                <w:rFonts w:hint="eastAsia"/>
              </w:rPr>
              <w:t>评选学校内“教学名师（专业带头人）”、“职业教育名师工作室”、“思政课名师”、“思政课名师工作室”、“名辅导员”、“名班主任”、“名班主任工作室”等。</w:t>
            </w:r>
          </w:p>
        </w:tc>
        <w:tc>
          <w:tcPr>
            <w:tcW w:w="2324" w:type="dxa"/>
            <w:vMerge w:val="restart"/>
            <w:vAlign w:val="center"/>
          </w:tcPr>
          <w:p>
            <w:pPr>
              <w:jc w:val="center"/>
            </w:pPr>
            <w:r>
              <w:rPr>
                <w:rFonts w:hint="eastAsia"/>
              </w:rPr>
              <w:t>邀请</w:t>
            </w:r>
            <w:r>
              <w:rPr>
                <w:rFonts w:hint="eastAsia"/>
                <w:lang w:eastAsia="zh-CN"/>
              </w:rPr>
              <w:t>“</w:t>
            </w:r>
            <w:bookmarkStart w:id="0" w:name="_GoBack"/>
            <w:bookmarkEnd w:id="0"/>
            <w:r>
              <w:rPr>
                <w:rFonts w:hint="eastAsia"/>
                <w:lang w:val="en-US" w:eastAsia="zh-CN"/>
              </w:rPr>
              <w:t>我身边的好老师</w:t>
            </w:r>
            <w:r>
              <w:rPr>
                <w:rFonts w:hint="eastAsia"/>
                <w:lang w:eastAsia="zh-CN"/>
              </w:rPr>
              <w:t>”</w:t>
            </w:r>
            <w:r>
              <w:rPr>
                <w:rFonts w:hint="eastAsia"/>
              </w:rPr>
              <w:t>讲述育人故事和心得体会，用身边事教育身边人，增强感染力和说服力。</w:t>
            </w:r>
          </w:p>
        </w:tc>
        <w:tc>
          <w:tcPr>
            <w:tcW w:w="1894" w:type="dxa"/>
            <w:vAlign w:val="center"/>
          </w:tcPr>
          <w:p>
            <w:pPr>
              <w:jc w:val="center"/>
            </w:pPr>
            <w:r>
              <w:rPr>
                <w:rFonts w:hint="eastAsia" w:ascii="Times New Roman" w:hAnsi="Times New Roman" w:cs="Times New Roman"/>
              </w:rPr>
              <w:t>3年一个评选周期</w:t>
            </w:r>
          </w:p>
        </w:tc>
        <w:tc>
          <w:tcPr>
            <w:tcW w:w="2596" w:type="dxa"/>
            <w:vMerge w:val="restart"/>
            <w:vAlign w:val="center"/>
          </w:tcPr>
          <w:p>
            <w:pPr>
              <w:jc w:val="center"/>
            </w:pPr>
            <w:r>
              <w:rPr>
                <w:rFonts w:hint="eastAsia"/>
              </w:rPr>
              <w:t>教务处（教师发展中心）/党委学生工作部（学生工作处）、团委、工会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1609" w:type="dxa"/>
            <w:vMerge w:val="continue"/>
            <w:vAlign w:val="center"/>
          </w:tcPr>
          <w:p>
            <w:pPr>
              <w:jc w:val="center"/>
            </w:pPr>
          </w:p>
        </w:tc>
        <w:tc>
          <w:tcPr>
            <w:tcW w:w="2756" w:type="dxa"/>
            <w:vMerge w:val="continue"/>
            <w:vAlign w:val="center"/>
          </w:tcPr>
          <w:p>
            <w:pPr>
              <w:jc w:val="center"/>
            </w:pPr>
          </w:p>
        </w:tc>
        <w:tc>
          <w:tcPr>
            <w:tcW w:w="2721" w:type="dxa"/>
            <w:vAlign w:val="center"/>
          </w:tcPr>
          <w:p>
            <w:r>
              <w:rPr>
                <w:rFonts w:hint="eastAsia"/>
              </w:rPr>
              <w:t xml:space="preserve">    评选“教学优秀奖”、“青年教师教学奖”、“教学管理先进工作者”等。</w:t>
            </w:r>
          </w:p>
        </w:tc>
        <w:tc>
          <w:tcPr>
            <w:tcW w:w="2324" w:type="dxa"/>
            <w:vMerge w:val="continue"/>
            <w:vAlign w:val="center"/>
          </w:tcPr>
          <w:p>
            <w:pPr>
              <w:jc w:val="center"/>
            </w:pPr>
          </w:p>
        </w:tc>
        <w:tc>
          <w:tcPr>
            <w:tcW w:w="1894" w:type="dxa"/>
            <w:vAlign w:val="center"/>
          </w:tcPr>
          <w:p>
            <w:pPr>
              <w:jc w:val="center"/>
            </w:pPr>
            <w:r>
              <w:rPr>
                <w:rFonts w:hint="eastAsia"/>
              </w:rPr>
              <w:t>9月</w:t>
            </w:r>
          </w:p>
        </w:tc>
        <w:tc>
          <w:tcPr>
            <w:tcW w:w="2596" w:type="dxa"/>
            <w:vMerge w:val="continue"/>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pPr>
              <w:jc w:val="center"/>
            </w:pPr>
          </w:p>
        </w:tc>
        <w:tc>
          <w:tcPr>
            <w:tcW w:w="2756" w:type="dxa"/>
            <w:vAlign w:val="center"/>
          </w:tcPr>
          <w:p>
            <w:pPr>
              <w:jc w:val="center"/>
            </w:pPr>
            <w:r>
              <w:rPr>
                <w:rFonts w:hint="eastAsia"/>
              </w:rPr>
              <w:t>名师工作坊：如何成为“双师型”良师</w:t>
            </w:r>
          </w:p>
        </w:tc>
        <w:tc>
          <w:tcPr>
            <w:tcW w:w="2721" w:type="dxa"/>
            <w:vAlign w:val="center"/>
          </w:tcPr>
          <w:p>
            <w:pPr>
              <w:ind w:firstLine="420" w:firstLineChars="200"/>
            </w:pPr>
            <w:r>
              <w:rPr>
                <w:rFonts w:hint="eastAsia"/>
              </w:rPr>
              <w:t>邀请校内外教学名师、技能大师，分享如何将工匠精神、职业道德融入专业教学，做到“德技双馨”。</w:t>
            </w:r>
          </w:p>
        </w:tc>
        <w:tc>
          <w:tcPr>
            <w:tcW w:w="2324" w:type="dxa"/>
            <w:vAlign w:val="center"/>
          </w:tcPr>
          <w:p>
            <w:pPr>
              <w:jc w:val="center"/>
            </w:pPr>
            <w:r>
              <w:rPr>
                <w:rFonts w:hint="eastAsia"/>
              </w:rPr>
              <w:t>突出职教特色，提升教师的综合育人能力。</w:t>
            </w:r>
          </w:p>
        </w:tc>
        <w:tc>
          <w:tcPr>
            <w:tcW w:w="1894" w:type="dxa"/>
            <w:vAlign w:val="center"/>
          </w:tcPr>
          <w:p>
            <w:pPr>
              <w:jc w:val="center"/>
            </w:pPr>
            <w:r>
              <w:rPr>
                <w:rFonts w:hint="eastAsia"/>
              </w:rPr>
              <w:t>8月</w:t>
            </w:r>
            <w:r>
              <w:rPr>
                <w:rFonts w:hint="eastAsia" w:ascii="Times New Roman" w:hAnsi="Times New Roman" w:cs="Times New Roman"/>
              </w:rPr>
              <w:t>至</w:t>
            </w:r>
            <w:r>
              <w:rPr>
                <w:rFonts w:hint="eastAsia"/>
              </w:rPr>
              <w:t>12月</w:t>
            </w:r>
          </w:p>
        </w:tc>
        <w:tc>
          <w:tcPr>
            <w:tcW w:w="2596" w:type="dxa"/>
            <w:vAlign w:val="center"/>
          </w:tcPr>
          <w:p>
            <w:pPr>
              <w:jc w:val="center"/>
            </w:pPr>
            <w:r>
              <w:rPr>
                <w:rFonts w:hint="eastAsia"/>
              </w:rPr>
              <w:t>教务处（教师发展中心）/党委教师工作部（人事处）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pPr>
              <w:jc w:val="center"/>
            </w:pPr>
          </w:p>
        </w:tc>
        <w:tc>
          <w:tcPr>
            <w:tcW w:w="2756" w:type="dxa"/>
            <w:vAlign w:val="center"/>
          </w:tcPr>
          <w:p>
            <w:pPr>
              <w:jc w:val="center"/>
            </w:pPr>
            <w:r>
              <w:rPr>
                <w:rFonts w:hint="eastAsia"/>
              </w:rPr>
              <w:t>新教师入职培训、宣誓兼“传帮带”传承仪式</w:t>
            </w:r>
          </w:p>
        </w:tc>
        <w:tc>
          <w:tcPr>
            <w:tcW w:w="2721" w:type="dxa"/>
            <w:vAlign w:val="center"/>
          </w:tcPr>
          <w:p>
            <w:pPr>
              <w:ind w:firstLine="420" w:firstLineChars="200"/>
            </w:pPr>
            <w:r>
              <w:rPr>
                <w:rFonts w:hint="eastAsia"/>
              </w:rPr>
              <w:t>为青年教师配备师德高尚、业务精湛的导师，签订“传帮带”协议并开展新入职青年教师培训，新教师入职宣誓等，重点引导青年教师涵养师德。</w:t>
            </w:r>
          </w:p>
        </w:tc>
        <w:tc>
          <w:tcPr>
            <w:tcW w:w="2324" w:type="dxa"/>
            <w:vAlign w:val="center"/>
          </w:tcPr>
          <w:p>
            <w:pPr>
              <w:jc w:val="center"/>
            </w:pPr>
            <w:r>
              <w:rPr>
                <w:rFonts w:hint="eastAsia"/>
              </w:rPr>
              <w:t>促进优良师风的传承。</w:t>
            </w:r>
          </w:p>
        </w:tc>
        <w:tc>
          <w:tcPr>
            <w:tcW w:w="1894" w:type="dxa"/>
            <w:vAlign w:val="center"/>
          </w:tcPr>
          <w:p>
            <w:pPr>
              <w:jc w:val="center"/>
            </w:pPr>
            <w:r>
              <w:rPr>
                <w:rFonts w:hint="eastAsia"/>
              </w:rPr>
              <w:t>8月至10月</w:t>
            </w:r>
          </w:p>
        </w:tc>
        <w:tc>
          <w:tcPr>
            <w:tcW w:w="2596" w:type="dxa"/>
            <w:vAlign w:val="center"/>
          </w:tcPr>
          <w:p>
            <w:pPr>
              <w:jc w:val="center"/>
            </w:pPr>
            <w:r>
              <w:rPr>
                <w:rFonts w:hint="eastAsia"/>
              </w:rPr>
              <w:t>教务处（教师发展中心）/各党总支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1609" w:type="dxa"/>
            <w:vMerge w:val="restart"/>
            <w:vAlign w:val="center"/>
          </w:tcPr>
          <w:p>
            <w:pPr>
              <w:jc w:val="center"/>
            </w:pPr>
            <w:r>
              <w:rPr>
                <w:rFonts w:hint="eastAsia"/>
              </w:rPr>
              <w:t>践行·升华——营造浓厚氛围</w:t>
            </w:r>
          </w:p>
        </w:tc>
        <w:tc>
          <w:tcPr>
            <w:tcW w:w="2756" w:type="dxa"/>
            <w:vAlign w:val="center"/>
          </w:tcPr>
          <w:p>
            <w:pPr>
              <w:jc w:val="center"/>
            </w:pPr>
            <w:r>
              <w:rPr>
                <w:rFonts w:hint="eastAsia"/>
              </w:rPr>
              <w:t>荣休仪式活动</w:t>
            </w:r>
          </w:p>
        </w:tc>
        <w:tc>
          <w:tcPr>
            <w:tcW w:w="2721" w:type="dxa"/>
            <w:vAlign w:val="center"/>
          </w:tcPr>
          <w:p>
            <w:pPr>
              <w:ind w:firstLine="420" w:firstLineChars="200"/>
            </w:pPr>
            <w:r>
              <w:rPr>
                <w:rFonts w:hint="eastAsia"/>
              </w:rPr>
              <w:t>每年对退休教职工进行慰问，举办荣休仪式。</w:t>
            </w:r>
          </w:p>
        </w:tc>
        <w:tc>
          <w:tcPr>
            <w:tcW w:w="2324" w:type="dxa"/>
            <w:vAlign w:val="center"/>
          </w:tcPr>
          <w:p>
            <w:pPr>
              <w:jc w:val="center"/>
            </w:pPr>
            <w:r>
              <w:rPr>
                <w:rFonts w:hint="eastAsia"/>
              </w:rPr>
              <w:t>将师德转化为关爱退休教职工的实际行动。</w:t>
            </w:r>
          </w:p>
        </w:tc>
        <w:tc>
          <w:tcPr>
            <w:tcW w:w="1894" w:type="dxa"/>
            <w:vAlign w:val="center"/>
          </w:tcPr>
          <w:p>
            <w:pPr>
              <w:jc w:val="center"/>
            </w:pPr>
            <w:r>
              <w:rPr>
                <w:rFonts w:hint="eastAsia"/>
              </w:rPr>
              <w:t>12月</w:t>
            </w:r>
          </w:p>
        </w:tc>
        <w:tc>
          <w:tcPr>
            <w:tcW w:w="2596" w:type="dxa"/>
            <w:vAlign w:val="center"/>
          </w:tcPr>
          <w:p>
            <w:pPr>
              <w:jc w:val="center"/>
            </w:pPr>
            <w:r>
              <w:rPr>
                <w:rFonts w:hint="eastAsia"/>
              </w:rPr>
              <w:t>党委教师工作部（人事处）、工会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pPr>
              <w:jc w:val="center"/>
            </w:pPr>
          </w:p>
        </w:tc>
        <w:tc>
          <w:tcPr>
            <w:tcW w:w="2756" w:type="dxa"/>
            <w:vAlign w:val="center"/>
          </w:tcPr>
          <w:p>
            <w:pPr>
              <w:jc w:val="center"/>
            </w:pPr>
            <w:r>
              <w:rPr>
                <w:rFonts w:hint="eastAsia"/>
              </w:rPr>
              <w:t>师德师风建设成果展</w:t>
            </w:r>
          </w:p>
        </w:tc>
        <w:tc>
          <w:tcPr>
            <w:tcW w:w="2721" w:type="dxa"/>
            <w:vAlign w:val="center"/>
          </w:tcPr>
          <w:p>
            <w:pPr>
              <w:ind w:firstLine="420" w:firstLineChars="200"/>
            </w:pPr>
            <w:r>
              <w:rPr>
                <w:rFonts w:hint="eastAsia"/>
              </w:rPr>
              <w:t>在学期末，通过展板、张贴宣传标语、公众号等渠道，集中展示优秀事迹、心得体会、活动照片等。营造一个导向鲜明，全员参与的师德师风环境。</w:t>
            </w:r>
          </w:p>
        </w:tc>
        <w:tc>
          <w:tcPr>
            <w:tcW w:w="2324" w:type="dxa"/>
            <w:vAlign w:val="center"/>
          </w:tcPr>
          <w:p>
            <w:pPr>
              <w:jc w:val="center"/>
            </w:pPr>
            <w:r>
              <w:rPr>
                <w:rFonts w:hint="eastAsia"/>
              </w:rPr>
              <w:t>总结活动成效，扩大影响，营造持久氛围。</w:t>
            </w:r>
          </w:p>
        </w:tc>
        <w:tc>
          <w:tcPr>
            <w:tcW w:w="1894" w:type="dxa"/>
            <w:vAlign w:val="center"/>
          </w:tcPr>
          <w:p>
            <w:pPr>
              <w:jc w:val="center"/>
            </w:pPr>
            <w:r>
              <w:rPr>
                <w:rFonts w:hint="eastAsia"/>
              </w:rPr>
              <w:t>7月、12月</w:t>
            </w:r>
          </w:p>
        </w:tc>
        <w:tc>
          <w:tcPr>
            <w:tcW w:w="2596" w:type="dxa"/>
            <w:vAlign w:val="center"/>
          </w:tcPr>
          <w:p>
            <w:pPr>
              <w:jc w:val="center"/>
            </w:pPr>
            <w:r>
              <w:rPr>
                <w:rFonts w:hint="eastAsia"/>
              </w:rPr>
              <w:t>党委宣传统战部（新时代文明实践中心）、各党总支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9" w:hRule="atLeast"/>
          <w:jc w:val="center"/>
        </w:trPr>
        <w:tc>
          <w:tcPr>
            <w:tcW w:w="1609" w:type="dxa"/>
            <w:vMerge w:val="restart"/>
            <w:vAlign w:val="center"/>
          </w:tcPr>
          <w:p>
            <w:pPr>
              <w:jc w:val="center"/>
            </w:pPr>
            <w:r>
              <w:rPr>
                <w:rFonts w:hint="eastAsia"/>
              </w:rPr>
              <w:t>总结提升阶段</w:t>
            </w:r>
          </w:p>
        </w:tc>
        <w:tc>
          <w:tcPr>
            <w:tcW w:w="2756" w:type="dxa"/>
            <w:vAlign w:val="center"/>
          </w:tcPr>
          <w:p>
            <w:pPr>
              <w:jc w:val="center"/>
            </w:pPr>
            <w:r>
              <w:rPr>
                <w:rFonts w:hint="eastAsia"/>
              </w:rPr>
              <w:t>各党总支进行工作总结，发现存在问题，分析问题成因，提出解决措施</w:t>
            </w:r>
          </w:p>
        </w:tc>
        <w:tc>
          <w:tcPr>
            <w:tcW w:w="2721" w:type="dxa"/>
            <w:vAlign w:val="center"/>
          </w:tcPr>
          <w:p>
            <w:pPr>
              <w:ind w:firstLine="420" w:firstLineChars="200"/>
            </w:pPr>
            <w:r>
              <w:rPr>
                <w:rFonts w:hint="eastAsia"/>
              </w:rPr>
              <w:t>各党总支开展师德师风建设系列活动的情况进行全面总结，梳理取得的成效、存在的问题和改进措施，形成工作总结报告报送党委教师工作部（人事处）。</w:t>
            </w:r>
          </w:p>
        </w:tc>
        <w:tc>
          <w:tcPr>
            <w:tcW w:w="2324" w:type="dxa"/>
            <w:vAlign w:val="center"/>
          </w:tcPr>
          <w:p>
            <w:pPr>
              <w:jc w:val="center"/>
            </w:pPr>
            <w:r>
              <w:rPr>
                <w:rFonts w:hint="eastAsia"/>
              </w:rPr>
              <w:t>梳理存在的问题并明确改进方向，推动学校师德师风建设工作系统化提升、常态化落实，切实筑牢育人师德根基。</w:t>
            </w:r>
          </w:p>
        </w:tc>
        <w:tc>
          <w:tcPr>
            <w:tcW w:w="1894" w:type="dxa"/>
            <w:vAlign w:val="center"/>
          </w:tcPr>
          <w:p>
            <w:pPr>
              <w:jc w:val="center"/>
            </w:pPr>
            <w:r>
              <w:rPr>
                <w:rFonts w:hint="eastAsia"/>
              </w:rPr>
              <w:t>12月</w:t>
            </w:r>
          </w:p>
        </w:tc>
        <w:tc>
          <w:tcPr>
            <w:tcW w:w="2596" w:type="dxa"/>
            <w:vAlign w:val="center"/>
          </w:tcPr>
          <w:p>
            <w:pPr>
              <w:jc w:val="center"/>
            </w:pPr>
            <w:r>
              <w:rPr>
                <w:rFonts w:hint="eastAsia"/>
              </w:rPr>
              <w:t>党委教师工作部（人事处）、各党总支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pPr>
              <w:jc w:val="center"/>
            </w:pPr>
          </w:p>
        </w:tc>
        <w:tc>
          <w:tcPr>
            <w:tcW w:w="2756" w:type="dxa"/>
            <w:vAlign w:val="center"/>
          </w:tcPr>
          <w:p>
            <w:pPr>
              <w:jc w:val="center"/>
            </w:pPr>
            <w:r>
              <w:rPr>
                <w:rFonts w:hint="eastAsia"/>
              </w:rPr>
              <w:t>建立健全师德师风建设长效机制</w:t>
            </w:r>
          </w:p>
        </w:tc>
        <w:tc>
          <w:tcPr>
            <w:tcW w:w="2721" w:type="dxa"/>
            <w:vAlign w:val="center"/>
          </w:tcPr>
          <w:p>
            <w:pPr>
              <w:ind w:firstLine="420" w:firstLineChars="200"/>
            </w:pPr>
            <w:r>
              <w:rPr>
                <w:rFonts w:hint="eastAsia"/>
              </w:rPr>
              <w:t>根据活动开展情况和总结反思，进一步完善学校师德师风建设的规章制度，建立健全师德师风教育、考核、监督、激励和惩处机制，将师德师风建设工作纳入教师日常管理和绩效考核体系。</w:t>
            </w:r>
          </w:p>
        </w:tc>
        <w:tc>
          <w:tcPr>
            <w:tcW w:w="2324" w:type="dxa"/>
            <w:vAlign w:val="center"/>
          </w:tcPr>
          <w:p>
            <w:pPr>
              <w:jc w:val="center"/>
            </w:pPr>
            <w:r>
              <w:rPr>
                <w:rFonts w:hint="eastAsia"/>
              </w:rPr>
              <w:t>实现师德师风建设的常态化、制度化和长效化。</w:t>
            </w:r>
          </w:p>
        </w:tc>
        <w:tc>
          <w:tcPr>
            <w:tcW w:w="1894" w:type="dxa"/>
            <w:vAlign w:val="center"/>
          </w:tcPr>
          <w:p>
            <w:pPr>
              <w:jc w:val="center"/>
            </w:pPr>
            <w:r>
              <w:rPr>
                <w:rFonts w:hint="eastAsia"/>
              </w:rPr>
              <w:t>12月</w:t>
            </w:r>
          </w:p>
        </w:tc>
        <w:tc>
          <w:tcPr>
            <w:tcW w:w="2596" w:type="dxa"/>
            <w:vAlign w:val="center"/>
          </w:tcPr>
          <w:p>
            <w:pPr>
              <w:jc w:val="center"/>
            </w:pPr>
            <w:r>
              <w:rPr>
                <w:rFonts w:hint="eastAsia"/>
              </w:rPr>
              <w:t>教务处（教师发展中心）、党委教师工作部（人事处）、纪委监察专员办公室纪检监察室、党委宣传统战部（新时代文明实践中心）、各党总支等相关部门</w:t>
            </w:r>
          </w:p>
        </w:tc>
      </w:tr>
    </w:tbl>
    <w:p>
      <w:pPr>
        <w:rPr>
          <w:rFonts w:hint="eastAsia" w:ascii="仿宋_GB2312" w:hAnsi="仿宋_GB2312" w:eastAsia="仿宋_GB2312" w:cs="仿宋_GB2312"/>
          <w:sz w:val="32"/>
          <w:szCs w:val="32"/>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Y2YWE1NTc1MWUxMTU5YTczMmIyMDg5ZWU4ODM0NzQifQ=="/>
  </w:docVars>
  <w:rsids>
    <w:rsidRoot w:val="00640C2D"/>
    <w:rsid w:val="00187F27"/>
    <w:rsid w:val="002048AE"/>
    <w:rsid w:val="00226A5E"/>
    <w:rsid w:val="00640C2D"/>
    <w:rsid w:val="006F77F4"/>
    <w:rsid w:val="00932E25"/>
    <w:rsid w:val="00AA7847"/>
    <w:rsid w:val="00C92C90"/>
    <w:rsid w:val="00E50D59"/>
    <w:rsid w:val="01777D86"/>
    <w:rsid w:val="01E31905"/>
    <w:rsid w:val="02ED0F1D"/>
    <w:rsid w:val="067C7988"/>
    <w:rsid w:val="07A37E3B"/>
    <w:rsid w:val="087F407A"/>
    <w:rsid w:val="0A736204"/>
    <w:rsid w:val="0A9D40AF"/>
    <w:rsid w:val="0C463FCA"/>
    <w:rsid w:val="0F827CE7"/>
    <w:rsid w:val="0FD541B5"/>
    <w:rsid w:val="0FF21EC1"/>
    <w:rsid w:val="10944372"/>
    <w:rsid w:val="13211150"/>
    <w:rsid w:val="16323F34"/>
    <w:rsid w:val="196B7B1F"/>
    <w:rsid w:val="1B9F2DDF"/>
    <w:rsid w:val="1BAE3985"/>
    <w:rsid w:val="1D435353"/>
    <w:rsid w:val="1F513268"/>
    <w:rsid w:val="20A22424"/>
    <w:rsid w:val="20DC2D35"/>
    <w:rsid w:val="249266C1"/>
    <w:rsid w:val="26313D04"/>
    <w:rsid w:val="27722272"/>
    <w:rsid w:val="278D7F07"/>
    <w:rsid w:val="29D60B3A"/>
    <w:rsid w:val="2A714F4A"/>
    <w:rsid w:val="2AA84549"/>
    <w:rsid w:val="305255AD"/>
    <w:rsid w:val="30946187"/>
    <w:rsid w:val="33D72BCA"/>
    <w:rsid w:val="3472696E"/>
    <w:rsid w:val="38A327F3"/>
    <w:rsid w:val="3ADE4285"/>
    <w:rsid w:val="3EF01ACB"/>
    <w:rsid w:val="3FDA2F9E"/>
    <w:rsid w:val="4207276D"/>
    <w:rsid w:val="432339A2"/>
    <w:rsid w:val="47AF7AB4"/>
    <w:rsid w:val="485C7B72"/>
    <w:rsid w:val="49E4743D"/>
    <w:rsid w:val="4AFA62A3"/>
    <w:rsid w:val="4C841A0C"/>
    <w:rsid w:val="4CA338D3"/>
    <w:rsid w:val="4EE23C1E"/>
    <w:rsid w:val="54322FDA"/>
    <w:rsid w:val="5498412B"/>
    <w:rsid w:val="55B075A6"/>
    <w:rsid w:val="59BA6BDA"/>
    <w:rsid w:val="5DDF3828"/>
    <w:rsid w:val="601D3ECA"/>
    <w:rsid w:val="6332277A"/>
    <w:rsid w:val="63510DCF"/>
    <w:rsid w:val="63CA5085"/>
    <w:rsid w:val="66BD2186"/>
    <w:rsid w:val="6EF87E3A"/>
    <w:rsid w:val="700B0312"/>
    <w:rsid w:val="72A263CB"/>
    <w:rsid w:val="758936CE"/>
    <w:rsid w:val="75BA14CD"/>
    <w:rsid w:val="77B44618"/>
    <w:rsid w:val="78DC6144"/>
    <w:rsid w:val="796F764D"/>
    <w:rsid w:val="7CFB2FAB"/>
    <w:rsid w:val="7E7241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8">
    <w:name w:val="Default Paragraph Font"/>
    <w:autoRedefine/>
    <w:semiHidden/>
    <w:unhideWhenUsed/>
    <w:uiPriority w:val="1"/>
  </w:style>
  <w:style w:type="table" w:default="1" w:styleId="6">
    <w:name w:val="Normal Table"/>
    <w:autoRedefine/>
    <w:semiHidden/>
    <w:unhideWhenUsed/>
    <w:uiPriority w:val="99"/>
    <w:tblPr>
      <w:tblCellMar>
        <w:top w:w="0" w:type="dxa"/>
        <w:left w:w="108" w:type="dxa"/>
        <w:bottom w:w="0" w:type="dxa"/>
        <w:right w:w="108" w:type="dxa"/>
      </w:tblCellMar>
    </w:tblPr>
  </w:style>
  <w:style w:type="paragraph" w:styleId="3">
    <w:name w:val="footer"/>
    <w:basedOn w:val="1"/>
    <w:link w:val="12"/>
    <w:qFormat/>
    <w:uiPriority w:val="0"/>
    <w:pPr>
      <w:tabs>
        <w:tab w:val="center" w:pos="4153"/>
        <w:tab w:val="right" w:pos="8306"/>
      </w:tabs>
      <w:snapToGrid w:val="0"/>
      <w:jc w:val="left"/>
    </w:pPr>
    <w:rPr>
      <w:sz w:val="18"/>
      <w:szCs w:val="18"/>
    </w:rPr>
  </w:style>
  <w:style w:type="paragraph" w:styleId="4">
    <w:name w:val="header"/>
    <w:basedOn w:val="1"/>
    <w:link w:val="11"/>
    <w:autoRedefine/>
    <w:uiPriority w:val="0"/>
    <w:pPr>
      <w:tabs>
        <w:tab w:val="center" w:pos="4153"/>
        <w:tab w:val="right" w:pos="8306"/>
      </w:tabs>
      <w:snapToGrid w:val="0"/>
      <w:jc w:val="center"/>
    </w:pPr>
    <w:rPr>
      <w:sz w:val="18"/>
      <w:szCs w:val="18"/>
    </w:rPr>
  </w:style>
  <w:style w:type="paragraph" w:styleId="5">
    <w:name w:val="Normal (Web)"/>
    <w:basedOn w:val="1"/>
    <w:autoRedefine/>
    <w:qFormat/>
    <w:uiPriority w:val="0"/>
    <w:pPr>
      <w:spacing w:beforeAutospacing="1" w:afterAutospacing="1"/>
      <w:jc w:val="left"/>
    </w:pPr>
    <w:rPr>
      <w:rFonts w:cs="Times New Roman"/>
      <w:kern w:val="0"/>
      <w:sz w:val="24"/>
    </w:rPr>
  </w:style>
  <w:style w:type="table" w:styleId="7">
    <w:name w:val="Table Grid"/>
    <w:basedOn w:val="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autoRedefine/>
    <w:qFormat/>
    <w:uiPriority w:val="0"/>
    <w:rPr>
      <w:b/>
    </w:rPr>
  </w:style>
  <w:style w:type="paragraph" w:customStyle="1" w:styleId="10">
    <w:name w:val="Table Paragraph"/>
    <w:basedOn w:val="1"/>
    <w:autoRedefine/>
    <w:qFormat/>
    <w:uiPriority w:val="1"/>
  </w:style>
  <w:style w:type="character" w:customStyle="1" w:styleId="11">
    <w:name w:val="页眉 字符"/>
    <w:basedOn w:val="8"/>
    <w:link w:val="4"/>
    <w:autoRedefine/>
    <w:qFormat/>
    <w:uiPriority w:val="0"/>
    <w:rPr>
      <w:rFonts w:asciiTheme="minorHAnsi" w:hAnsiTheme="minorHAnsi" w:eastAsiaTheme="minorEastAsia" w:cstheme="minorBidi"/>
      <w:kern w:val="2"/>
      <w:sz w:val="18"/>
      <w:szCs w:val="18"/>
    </w:rPr>
  </w:style>
  <w:style w:type="character" w:customStyle="1" w:styleId="12">
    <w:name w:val="页脚 字符"/>
    <w:basedOn w:val="8"/>
    <w:link w:val="3"/>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802</Words>
  <Characters>4575</Characters>
  <Lines>38</Lines>
  <Paragraphs>10</Paragraphs>
  <TotalTime>90</TotalTime>
  <ScaleCrop>false</ScaleCrop>
  <LinksUpToDate>false</LinksUpToDate>
  <CharactersWithSpaces>5367</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2025-10-04T11:20:00Z</dcterms:created>
  <dc:creator>Lenovo</dc:creator>
  <cp:lastModifiedBy>马能杰</cp:lastModifiedBy>
  <cp:lastPrinted>2025-10-23T03:48:00Z</cp:lastPrinted>
  <dcterms:modified xsi:type="dcterms:W3CDTF">2025-11-06T13:21:22Z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237E7B6878CB45088D2206221E893EB2_12</vt:lpwstr>
  </property>
</Properties>
</file>